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600" w:lineRule="exact"/>
        <w:jc w:val="center"/>
        <w:rPr>
          <w:rFonts w:ascii="仿宋_GB2312" w:hAnsi="仿宋_GB2312" w:eastAsia="仿宋_GB2312"/>
          <w:sz w:val="32"/>
          <w:szCs w:val="32"/>
        </w:rPr>
      </w:pPr>
      <w:r>
        <w:rPr>
          <w:rFonts w:hint="eastAsia" w:ascii="华文中宋" w:hAnsi="华文中宋" w:eastAsia="华文中宋" w:cs="楷体_GB2312"/>
          <w:color w:val="FF0000"/>
          <w:spacing w:val="-20"/>
          <w:sz w:val="44"/>
          <w:szCs w:val="44"/>
        </w:rPr>
        <w:pict>
          <v:shape id="_x0000_s1026" o:spid="_x0000_s1026" o:spt="136" type="#_x0000_t136" style="position:absolute;left:0pt;margin-left:-0.25pt;margin-top:27.85pt;height:83.3pt;width:443.65pt;z-index:251667456;mso-width-relative:page;mso-height-relative:page;" fillcolor="#FF0000" filled="t" stroked="f" coordsize="21600,21600" adj="10800">
            <v:path/>
            <v:fill on="t" color2="#FFFFFF" focussize="0,0"/>
            <v:stroke on="f"/>
            <v:imagedata o:title=""/>
            <o:lock v:ext="edit" aspectratio="f"/>
            <v:textpath on="t" fitshape="t" fitpath="t" trim="t" xscale="f" string="滕州市人民政府办公室文件" style="font-family:华文中宋;font-size:36pt;font-weight:bold;v-text-align:center;"/>
          </v:shape>
        </w:pict>
      </w:r>
    </w:p>
    <w:p>
      <w:pPr>
        <w:widowControl w:val="0"/>
        <w:spacing w:line="600" w:lineRule="exact"/>
        <w:jc w:val="center"/>
        <w:rPr>
          <w:rFonts w:ascii="仿宋_GB2312" w:hAnsi="仿宋_GB2312" w:eastAsia="仿宋_GB2312"/>
          <w:sz w:val="32"/>
          <w:szCs w:val="32"/>
        </w:rPr>
      </w:pPr>
    </w:p>
    <w:p>
      <w:pPr>
        <w:widowControl w:val="0"/>
        <w:spacing w:line="600" w:lineRule="exact"/>
        <w:jc w:val="center"/>
        <w:rPr>
          <w:rFonts w:ascii="仿宋_GB2312" w:hAnsi="仿宋_GB2312" w:eastAsia="仿宋_GB2312"/>
          <w:sz w:val="32"/>
          <w:szCs w:val="32"/>
        </w:rPr>
      </w:pPr>
    </w:p>
    <w:p>
      <w:pPr>
        <w:widowControl w:val="0"/>
        <w:spacing w:line="600" w:lineRule="exact"/>
        <w:jc w:val="center"/>
        <w:rPr>
          <w:rFonts w:ascii="仿宋_GB2312" w:hAnsi="仿宋_GB2312" w:eastAsia="仿宋_GB2312"/>
          <w:sz w:val="32"/>
          <w:szCs w:val="32"/>
        </w:rPr>
      </w:pPr>
    </w:p>
    <w:p>
      <w:pPr>
        <w:widowControl w:val="0"/>
        <w:spacing w:line="600" w:lineRule="exact"/>
        <w:jc w:val="center"/>
        <w:rPr>
          <w:rFonts w:ascii="仿宋_GB2312" w:hAnsi="仿宋_GB2312" w:eastAsia="仿宋_GB2312"/>
          <w:sz w:val="32"/>
          <w:szCs w:val="32"/>
        </w:rPr>
      </w:pPr>
    </w:p>
    <w:p>
      <w:pPr>
        <w:keepNext w:val="0"/>
        <w:keepLines w:val="0"/>
        <w:widowControl/>
        <w:suppressLineNumbers w:val="0"/>
        <w:jc w:val="center"/>
      </w:pPr>
      <w:r>
        <w:rPr>
          <w:rFonts w:ascii="仿宋_GB2312" w:hAnsi="宋体" w:eastAsia="仿宋_GB2312" w:cs="仿宋_GB2312"/>
          <w:i w:val="0"/>
          <w:caps w:val="0"/>
          <w:color w:val="000000"/>
          <w:spacing w:val="0"/>
          <w:kern w:val="0"/>
          <w:sz w:val="31"/>
          <w:szCs w:val="31"/>
          <w:shd w:val="clear" w:fill="FFFFFF"/>
          <w:lang w:val="en-US" w:eastAsia="zh-CN" w:bidi="ar"/>
        </w:rPr>
        <w:t>滕</w:t>
      </w:r>
      <w:r>
        <w:rPr>
          <w:rFonts w:hint="eastAsia" w:ascii="仿宋_GB2312" w:hAnsi="宋体" w:eastAsia="仿宋_GB2312" w:cs="仿宋_GB2312"/>
          <w:i w:val="0"/>
          <w:caps w:val="0"/>
          <w:color w:val="000000"/>
          <w:spacing w:val="0"/>
          <w:kern w:val="0"/>
          <w:sz w:val="31"/>
          <w:szCs w:val="31"/>
          <w:shd w:val="clear" w:fill="FFFFFF"/>
          <w:lang w:val="en-US" w:eastAsia="zh-CN" w:bidi="ar"/>
        </w:rPr>
        <w:t>政办发〔2021〕24号</w:t>
      </w:r>
    </w:p>
    <w:p>
      <w:pPr>
        <w:widowControl w:val="0"/>
        <w:spacing w:line="600" w:lineRule="exact"/>
        <w:jc w:val="center"/>
        <w:rPr>
          <w:rFonts w:ascii="仿宋_GB2312" w:hAnsi="仿宋_GB2312" w:eastAsia="仿宋_GB2312"/>
          <w:sz w:val="32"/>
          <w:szCs w:val="32"/>
        </w:rPr>
      </w:pPr>
      <w:r>
        <w:rPr>
          <w:rFonts w:hint="eastAsia" w:ascii="华文中宋" w:hAnsi="华文中宋" w:eastAsia="华文中宋" w:cs="楷体_GB2312"/>
          <w:color w:val="FF0000"/>
          <w:spacing w:val="-20"/>
          <w:sz w:val="44"/>
          <w:szCs w:val="44"/>
        </w:rPr>
        <mc:AlternateContent>
          <mc:Choice Requires="wps">
            <w:drawing>
              <wp:anchor distT="0" distB="0" distL="114300" distR="114300" simplePos="0" relativeHeight="251674624" behindDoc="0" locked="0" layoutInCell="1" allowOverlap="1">
                <wp:simplePos x="0" y="0"/>
                <wp:positionH relativeFrom="column">
                  <wp:posOffset>134620</wp:posOffset>
                </wp:positionH>
                <wp:positionV relativeFrom="paragraph">
                  <wp:posOffset>233680</wp:posOffset>
                </wp:positionV>
                <wp:extent cx="5143500" cy="635"/>
                <wp:effectExtent l="0" t="0" r="0" b="0"/>
                <wp:wrapNone/>
                <wp:docPr id="4" name="直接连接符 4"/>
                <wp:cNvGraphicFramePr/>
                <a:graphic xmlns:a="http://schemas.openxmlformats.org/drawingml/2006/main">
                  <a:graphicData uri="http://schemas.microsoft.com/office/word/2010/wordprocessingShape">
                    <wps:wsp>
                      <wps:cNvSpPr/>
                      <wps:spPr>
                        <a:xfrm>
                          <a:off x="0" y="0"/>
                          <a:ext cx="5143500" cy="635"/>
                        </a:xfrm>
                        <a:prstGeom prst="line">
                          <a:avLst/>
                        </a:prstGeom>
                        <a:ln w="28575" cap="flat" cmpd="sng">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10.6pt;margin-top:18.4pt;height:0.05pt;width:405pt;z-index:251674624;mso-width-relative:page;mso-height-relative:page;" stroked="t" coordsize="21600,21600" o:gfxdata="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FS9W9fVAAAACAEAAA8AAAAAAAAAAQAgAAAAOAAAAGRycy9kb3ducmV2LnhtbFBLAQIU&#10;ABQAAAAIAIdO4kAYLbBv4AEAAJwDAAAOAAAAAAAAAAEAIAAAADoBAABkcnMvZTJvRG9jLnhtbFBL&#10;BQYAAAAABgAGAFkBAACMBQAAAAA=&#10;">
                <v:path arrowok="t"/>
                <v:fill focussize="0,0"/>
                <v:stroke weight="2.25pt" color="#FF0000"/>
                <v:imagedata o:title=""/>
                <o:lock v:ext="edit"/>
              </v:line>
            </w:pict>
          </mc:Fallback>
        </mc:AlternateContent>
      </w:r>
    </w:p>
    <w:p>
      <w:pPr>
        <w:widowControl w:val="0"/>
        <w:adjustRightInd w:val="0"/>
        <w:snapToGrid w:val="0"/>
        <w:spacing w:line="600" w:lineRule="exact"/>
        <w:jc w:val="center"/>
        <w:rPr>
          <w:rFonts w:ascii="方正小标宋简体" w:hAnsi="宋体" w:eastAsia="方正小标宋简体" w:cs="宋体"/>
          <w:sz w:val="44"/>
          <w:szCs w:val="44"/>
        </w:rPr>
      </w:pPr>
      <w:bookmarkStart w:id="0" w:name="_GoBack"/>
      <w:bookmarkEnd w:id="0"/>
    </w:p>
    <w:p>
      <w:pPr>
        <w:widowControl w:val="0"/>
        <w:adjustRightInd w:val="0"/>
        <w:snapToGrid w:val="0"/>
        <w:spacing w:line="600" w:lineRule="exact"/>
        <w:jc w:val="center"/>
        <w:rPr>
          <w:rFonts w:ascii="方正小标宋简体" w:hAnsi="宋体" w:eastAsia="方正小标宋简体" w:cs="宋体"/>
          <w:spacing w:val="-20"/>
          <w:sz w:val="44"/>
          <w:szCs w:val="44"/>
        </w:rPr>
      </w:pPr>
      <w:r>
        <w:rPr>
          <w:rFonts w:hint="eastAsia" w:ascii="方正小标宋简体" w:hAnsi="宋体" w:eastAsia="方正小标宋简体" w:cs="宋体"/>
          <w:spacing w:val="-20"/>
          <w:sz w:val="44"/>
          <w:szCs w:val="44"/>
        </w:rPr>
        <w:t>滕州市人民政府办公室</w:t>
      </w:r>
    </w:p>
    <w:p>
      <w:pPr>
        <w:widowControl w:val="0"/>
        <w:adjustRightInd w:val="0"/>
        <w:snapToGrid w:val="0"/>
        <w:spacing w:line="600" w:lineRule="exact"/>
        <w:jc w:val="center"/>
        <w:rPr>
          <w:rFonts w:ascii="方正小标宋简体" w:hAnsi="宋体" w:eastAsia="方正小标宋简体" w:cs="宋体"/>
          <w:spacing w:val="-20"/>
          <w:sz w:val="44"/>
          <w:szCs w:val="44"/>
        </w:rPr>
      </w:pPr>
      <w:r>
        <w:rPr>
          <w:rFonts w:hint="eastAsia" w:ascii="方正小标宋简体" w:hAnsi="宋体" w:eastAsia="方正小标宋简体" w:cs="宋体"/>
          <w:spacing w:val="-20"/>
          <w:sz w:val="44"/>
          <w:szCs w:val="44"/>
        </w:rPr>
        <w:t>关于印发《滕州市</w:t>
      </w:r>
      <w:r>
        <w:rPr>
          <w:rFonts w:ascii="方正小标宋简体" w:hAnsi="宋体" w:eastAsia="方正小标宋简体" w:cs="宋体"/>
          <w:spacing w:val="-20"/>
          <w:sz w:val="44"/>
          <w:szCs w:val="44"/>
        </w:rPr>
        <w:t>202</w:t>
      </w:r>
      <w:r>
        <w:rPr>
          <w:rFonts w:hint="eastAsia" w:ascii="方正小标宋简体" w:hAnsi="宋体" w:eastAsia="方正小标宋简体" w:cs="宋体"/>
          <w:spacing w:val="-20"/>
          <w:sz w:val="44"/>
          <w:szCs w:val="44"/>
        </w:rPr>
        <w:t>1年度居民基本医疗保险</w:t>
      </w:r>
    </w:p>
    <w:p>
      <w:pPr>
        <w:widowControl w:val="0"/>
        <w:adjustRightInd w:val="0"/>
        <w:snapToGrid w:val="0"/>
        <w:spacing w:line="600" w:lineRule="exact"/>
        <w:jc w:val="center"/>
        <w:rPr>
          <w:rFonts w:ascii="方正小标宋简体" w:hAnsi="宋体" w:eastAsia="方正小标宋简体" w:cs="宋体"/>
          <w:sz w:val="44"/>
          <w:szCs w:val="44"/>
        </w:rPr>
      </w:pPr>
      <w:r>
        <w:rPr>
          <w:rFonts w:hint="eastAsia" w:ascii="方正小标宋简体" w:hAnsi="宋体" w:eastAsia="方正小标宋简体" w:cs="宋体"/>
          <w:spacing w:val="-20"/>
          <w:sz w:val="44"/>
          <w:szCs w:val="44"/>
        </w:rPr>
        <w:t>参保征缴工作实施方案》的通知</w:t>
      </w:r>
    </w:p>
    <w:p>
      <w:pPr>
        <w:widowControl w:val="0"/>
        <w:spacing w:line="600" w:lineRule="exact"/>
        <w:jc w:val="both"/>
        <w:rPr>
          <w:sz w:val="16"/>
        </w:rPr>
      </w:pPr>
    </w:p>
    <w:p>
      <w:pPr>
        <w:widowControl w:val="0"/>
        <w:spacing w:line="600" w:lineRule="exact"/>
        <w:rPr>
          <w:rFonts w:ascii="仿宋_GB2312" w:eastAsia="仿宋_GB2312"/>
          <w:sz w:val="32"/>
          <w:szCs w:val="32"/>
        </w:rPr>
      </w:pPr>
      <w:r>
        <w:rPr>
          <w:rFonts w:hint="eastAsia" w:ascii="仿宋_GB2312" w:hAnsi="仿宋" w:eastAsia="仿宋_GB2312"/>
          <w:color w:val="000000"/>
          <w:sz w:val="32"/>
          <w:szCs w:val="32"/>
        </w:rPr>
        <w:t>各镇人民政府、街道办事处，滕州经济开发区管委会，市政府各部门，各企事业单位：</w:t>
      </w:r>
    </w:p>
    <w:p>
      <w:pPr>
        <w:widowControl w:val="0"/>
        <w:spacing w:line="600" w:lineRule="exact"/>
        <w:ind w:firstLine="640" w:firstLineChars="200"/>
        <w:jc w:val="both"/>
        <w:rPr>
          <w:rFonts w:ascii="黑体" w:hAnsi="黑体" w:eastAsia="黑体"/>
          <w:sz w:val="36"/>
        </w:rPr>
      </w:pPr>
      <w:r>
        <w:rPr>
          <w:rFonts w:hint="eastAsia" w:ascii="仿宋_GB2312" w:hAnsi="仿宋_GB2312" w:eastAsia="仿宋_GB2312"/>
          <w:sz w:val="32"/>
          <w:szCs w:val="32"/>
        </w:rPr>
        <w:t>《滕州市</w:t>
      </w:r>
      <w:r>
        <w:rPr>
          <w:rFonts w:ascii="仿宋_GB2312" w:hAnsi="仿宋_GB2312" w:eastAsia="仿宋_GB2312"/>
          <w:sz w:val="32"/>
          <w:szCs w:val="32"/>
        </w:rPr>
        <w:t>202</w:t>
      </w:r>
      <w:r>
        <w:rPr>
          <w:rFonts w:hint="eastAsia" w:ascii="仿宋_GB2312" w:hAnsi="仿宋_GB2312" w:eastAsia="仿宋_GB2312"/>
          <w:sz w:val="32"/>
          <w:szCs w:val="32"/>
        </w:rPr>
        <w:t>1年度居民基本医疗保险参保征缴工作实施方案》已经市政府同意，现印发给你们，请结合实际，</w:t>
      </w:r>
      <w:r>
        <w:rPr>
          <w:rFonts w:hint="eastAsia" w:ascii="仿宋_GB2312" w:eastAsia="仿宋_GB2312"/>
          <w:sz w:val="32"/>
          <w:szCs w:val="32"/>
        </w:rPr>
        <w:t>认真组织实施。</w:t>
      </w:r>
    </w:p>
    <w:p>
      <w:pPr>
        <w:widowControl w:val="0"/>
        <w:spacing w:line="600" w:lineRule="exact"/>
        <w:ind w:right="640"/>
        <w:jc w:val="right"/>
        <w:rPr>
          <w:rFonts w:ascii="黑体" w:hAnsi="黑体" w:eastAsia="黑体"/>
          <w:sz w:val="36"/>
        </w:rPr>
      </w:pPr>
    </w:p>
    <w:p>
      <w:pPr>
        <w:widowControl w:val="0"/>
        <w:spacing w:line="600" w:lineRule="exact"/>
        <w:ind w:firstLine="4000" w:firstLineChars="1250"/>
        <w:jc w:val="both"/>
        <w:rPr>
          <w:rFonts w:ascii="仿宋_GB2312" w:hAnsi="仿宋_GB2312" w:eastAsia="仿宋_GB2312"/>
          <w:sz w:val="32"/>
          <w:szCs w:val="32"/>
        </w:rPr>
      </w:pPr>
      <w:r>
        <w:rPr>
          <w:rFonts w:hint="eastAsia" w:ascii="仿宋_GB2312" w:hAnsi="仿宋_GB2312" w:eastAsia="仿宋_GB2312"/>
          <w:sz w:val="32"/>
          <w:szCs w:val="32"/>
        </w:rPr>
        <w:t>滕州市人民政府办公室</w:t>
      </w:r>
    </w:p>
    <w:p>
      <w:pPr>
        <w:widowControl w:val="0"/>
        <w:wordWrap w:val="0"/>
        <w:spacing w:line="600" w:lineRule="exact"/>
        <w:jc w:val="both"/>
        <w:rPr>
          <w:rFonts w:ascii="仿宋_GB2312" w:hAnsi="仿宋_GB2312" w:eastAsia="仿宋_GB2312"/>
          <w:sz w:val="24"/>
          <w:szCs w:val="32"/>
        </w:rPr>
      </w:pPr>
      <w:r>
        <w:rPr>
          <w:rFonts w:ascii="仿宋_GB2312" w:hAnsi="仿宋_GB2312" w:eastAsia="仿宋_GB2312"/>
          <w:sz w:val="32"/>
          <w:szCs w:val="32"/>
        </w:rPr>
        <w:t xml:space="preserve">  </w:t>
      </w:r>
      <w:r>
        <w:rPr>
          <w:rFonts w:hint="eastAsia" w:ascii="仿宋_GB2312" w:hAnsi="仿宋_GB2312" w:eastAsia="仿宋_GB2312"/>
          <w:sz w:val="32"/>
          <w:szCs w:val="32"/>
        </w:rPr>
        <w:t xml:space="preserve">                         </w:t>
      </w:r>
      <w:r>
        <w:rPr>
          <w:rFonts w:ascii="仿宋_GB2312" w:hAnsi="仿宋_GB2312" w:eastAsia="仿宋_GB2312"/>
          <w:sz w:val="32"/>
          <w:szCs w:val="32"/>
        </w:rPr>
        <w:t>20</w:t>
      </w:r>
      <w:r>
        <w:rPr>
          <w:rFonts w:hint="eastAsia" w:ascii="仿宋_GB2312" w:hAnsi="仿宋_GB2312" w:eastAsia="仿宋_GB2312"/>
          <w:sz w:val="32"/>
          <w:szCs w:val="32"/>
        </w:rPr>
        <w:t>20年11月10日</w:t>
      </w:r>
    </w:p>
    <w:p>
      <w:pPr>
        <w:widowControl w:val="0"/>
        <w:spacing w:line="600" w:lineRule="exact"/>
        <w:jc w:val="center"/>
        <w:rPr>
          <w:rFonts w:ascii="方正小标宋简体" w:hAnsi="黑体" w:eastAsia="方正小标宋简体"/>
          <w:sz w:val="44"/>
          <w:szCs w:val="32"/>
        </w:rPr>
      </w:pPr>
    </w:p>
    <w:p>
      <w:pPr>
        <w:widowControl w:val="0"/>
        <w:spacing w:line="600" w:lineRule="exact"/>
        <w:jc w:val="center"/>
        <w:rPr>
          <w:rFonts w:ascii="方正小标宋简体" w:hAnsi="黑体" w:eastAsia="方正小标宋简体"/>
          <w:sz w:val="44"/>
          <w:szCs w:val="32"/>
        </w:rPr>
      </w:pPr>
    </w:p>
    <w:p>
      <w:pPr>
        <w:widowControl w:val="0"/>
        <w:spacing w:line="600" w:lineRule="exact"/>
        <w:jc w:val="center"/>
        <w:rPr>
          <w:rFonts w:ascii="方正小标宋简体" w:hAnsi="黑体" w:eastAsia="方正小标宋简体"/>
          <w:color w:val="000000"/>
          <w:spacing w:val="-20"/>
          <w:sz w:val="44"/>
          <w:szCs w:val="32"/>
        </w:rPr>
      </w:pPr>
    </w:p>
    <w:p>
      <w:pPr>
        <w:widowControl w:val="0"/>
        <w:spacing w:line="600" w:lineRule="exact"/>
        <w:jc w:val="center"/>
        <w:rPr>
          <w:rFonts w:ascii="方正小标宋简体" w:hAnsi="黑体" w:eastAsia="方正小标宋简体"/>
          <w:color w:val="000000"/>
          <w:spacing w:val="-20"/>
          <w:sz w:val="44"/>
          <w:szCs w:val="32"/>
        </w:rPr>
      </w:pPr>
    </w:p>
    <w:p>
      <w:pPr>
        <w:widowControl w:val="0"/>
        <w:spacing w:line="600" w:lineRule="exact"/>
        <w:jc w:val="center"/>
        <w:rPr>
          <w:rFonts w:ascii="方正小标宋简体" w:hAnsi="黑体" w:eastAsia="方正小标宋简体"/>
          <w:snapToGrid w:val="0"/>
          <w:color w:val="000000"/>
          <w:sz w:val="44"/>
          <w:szCs w:val="32"/>
        </w:rPr>
      </w:pPr>
      <w:r>
        <w:rPr>
          <w:rFonts w:hint="eastAsia" w:ascii="方正小标宋简体" w:hAnsi="黑体" w:eastAsia="方正小标宋简体"/>
          <w:snapToGrid w:val="0"/>
          <w:color w:val="000000"/>
          <w:sz w:val="44"/>
          <w:szCs w:val="32"/>
        </w:rPr>
        <w:t>滕州市</w:t>
      </w:r>
      <w:r>
        <w:rPr>
          <w:rFonts w:ascii="方正小标宋简体" w:hAnsi="黑体" w:eastAsia="方正小标宋简体"/>
          <w:snapToGrid w:val="0"/>
          <w:color w:val="000000"/>
          <w:sz w:val="44"/>
          <w:szCs w:val="32"/>
        </w:rPr>
        <w:t>202</w:t>
      </w:r>
      <w:r>
        <w:rPr>
          <w:rFonts w:hint="eastAsia" w:ascii="方正小标宋简体" w:hAnsi="黑体" w:eastAsia="方正小标宋简体"/>
          <w:snapToGrid w:val="0"/>
          <w:color w:val="000000"/>
          <w:sz w:val="44"/>
          <w:szCs w:val="32"/>
        </w:rPr>
        <w:t>1年度居民基本医疗保险</w:t>
      </w:r>
    </w:p>
    <w:p>
      <w:pPr>
        <w:widowControl w:val="0"/>
        <w:spacing w:line="600" w:lineRule="exact"/>
        <w:jc w:val="center"/>
        <w:rPr>
          <w:rFonts w:ascii="方正小标宋简体" w:hAnsi="黑体" w:eastAsia="方正小标宋简体"/>
          <w:snapToGrid w:val="0"/>
          <w:color w:val="000000"/>
          <w:sz w:val="44"/>
          <w:szCs w:val="32"/>
        </w:rPr>
      </w:pPr>
      <w:r>
        <w:rPr>
          <w:rFonts w:hint="eastAsia" w:ascii="方正小标宋简体" w:hAnsi="黑体" w:eastAsia="方正小标宋简体"/>
          <w:snapToGrid w:val="0"/>
          <w:color w:val="000000"/>
          <w:sz w:val="44"/>
          <w:szCs w:val="32"/>
        </w:rPr>
        <w:t>参保征缴工作实施方案</w:t>
      </w:r>
    </w:p>
    <w:p>
      <w:pPr>
        <w:widowControl w:val="0"/>
        <w:spacing w:line="600" w:lineRule="exact"/>
        <w:ind w:firstLine="645"/>
        <w:jc w:val="both"/>
        <w:rPr>
          <w:rFonts w:ascii="仿宋_GB2312" w:hAnsi="仿宋_GB2312" w:eastAsia="仿宋_GB2312"/>
          <w:bCs/>
          <w:color w:val="000000"/>
          <w:sz w:val="32"/>
          <w:szCs w:val="30"/>
        </w:rPr>
      </w:pPr>
    </w:p>
    <w:p>
      <w:pPr>
        <w:widowControl w:val="0"/>
        <w:overflowPunct w:val="0"/>
        <w:adjustRightInd w:val="0"/>
        <w:snapToGrid w:val="0"/>
        <w:spacing w:line="560" w:lineRule="exact"/>
        <w:ind w:firstLine="640" w:firstLineChars="200"/>
        <w:jc w:val="both"/>
        <w:rPr>
          <w:rFonts w:ascii="仿宋_GB2312" w:hAnsi="仿宋_GB2312" w:eastAsia="仿宋_GB2312"/>
          <w:bCs/>
          <w:color w:val="000000"/>
          <w:sz w:val="32"/>
          <w:szCs w:val="30"/>
        </w:rPr>
      </w:pPr>
      <w:r>
        <w:rPr>
          <w:rFonts w:hint="eastAsia" w:ascii="仿宋_GB2312" w:hAnsi="仿宋_GB2312" w:eastAsia="仿宋_GB2312"/>
          <w:bCs/>
          <w:color w:val="000000"/>
          <w:sz w:val="32"/>
          <w:szCs w:val="30"/>
        </w:rPr>
        <w:t>根据《枣庄市居民基本医疗保险暂行办法》（枣政发〔</w:t>
      </w:r>
      <w:r>
        <w:rPr>
          <w:rFonts w:ascii="仿宋_GB2312" w:hAnsi="仿宋_GB2312" w:eastAsia="仿宋_GB2312"/>
          <w:bCs/>
          <w:color w:val="000000"/>
          <w:sz w:val="32"/>
          <w:szCs w:val="30"/>
        </w:rPr>
        <w:t>2014</w:t>
      </w:r>
      <w:r>
        <w:rPr>
          <w:rFonts w:hint="eastAsia" w:ascii="仿宋_GB2312" w:hAnsi="仿宋_GB2312" w:eastAsia="仿宋_GB2312"/>
          <w:bCs/>
          <w:color w:val="000000"/>
          <w:sz w:val="32"/>
          <w:szCs w:val="30"/>
        </w:rPr>
        <w:t>〕</w:t>
      </w:r>
      <w:r>
        <w:rPr>
          <w:rFonts w:ascii="仿宋_GB2312" w:hAnsi="仿宋_GB2312" w:eastAsia="仿宋_GB2312"/>
          <w:bCs/>
          <w:color w:val="000000"/>
          <w:sz w:val="32"/>
          <w:szCs w:val="30"/>
        </w:rPr>
        <w:t>10</w:t>
      </w:r>
      <w:r>
        <w:rPr>
          <w:rFonts w:hint="eastAsia" w:ascii="仿宋_GB2312" w:hAnsi="仿宋_GB2312" w:eastAsia="仿宋_GB2312"/>
          <w:bCs/>
          <w:color w:val="000000"/>
          <w:sz w:val="32"/>
          <w:szCs w:val="30"/>
        </w:rPr>
        <w:t>号）、国家税务总局枣庄市税务</w:t>
      </w:r>
      <w:r>
        <w:rPr>
          <w:rFonts w:ascii="仿宋_GB2312" w:hAnsi="仿宋_GB2312" w:eastAsia="仿宋_GB2312"/>
          <w:bCs/>
          <w:color w:val="000000"/>
          <w:sz w:val="32"/>
          <w:szCs w:val="30"/>
        </w:rPr>
        <w:t>局等</w:t>
      </w:r>
      <w:r>
        <w:rPr>
          <w:rFonts w:hint="eastAsia" w:ascii="仿宋_GB2312" w:hAnsi="仿宋_GB2312" w:eastAsia="仿宋_GB2312"/>
          <w:bCs/>
          <w:color w:val="000000"/>
          <w:sz w:val="32"/>
          <w:szCs w:val="30"/>
        </w:rPr>
        <w:t>6部门《关于做好政府资助人员居民基本医疗保险参保缴费工作的通知》（枣税发〔</w:t>
      </w:r>
      <w:r>
        <w:rPr>
          <w:rFonts w:ascii="仿宋_GB2312" w:hAnsi="仿宋_GB2312" w:eastAsia="仿宋_GB2312"/>
          <w:bCs/>
          <w:color w:val="000000"/>
          <w:sz w:val="32"/>
          <w:szCs w:val="30"/>
        </w:rPr>
        <w:t>20</w:t>
      </w:r>
      <w:r>
        <w:rPr>
          <w:rFonts w:hint="eastAsia" w:ascii="仿宋_GB2312" w:hAnsi="仿宋_GB2312" w:eastAsia="仿宋_GB2312"/>
          <w:bCs/>
          <w:color w:val="000000"/>
          <w:sz w:val="32"/>
          <w:szCs w:val="30"/>
        </w:rPr>
        <w:t>20〕36号）等文件规定，为做好我市</w:t>
      </w:r>
      <w:r>
        <w:rPr>
          <w:rFonts w:ascii="仿宋_GB2312" w:hAnsi="仿宋_GB2312" w:eastAsia="仿宋_GB2312"/>
          <w:bCs/>
          <w:color w:val="000000"/>
          <w:sz w:val="32"/>
          <w:szCs w:val="30"/>
        </w:rPr>
        <w:t>202</w:t>
      </w:r>
      <w:r>
        <w:rPr>
          <w:rFonts w:hint="eastAsia" w:ascii="仿宋_GB2312" w:hAnsi="仿宋_GB2312" w:eastAsia="仿宋_GB2312"/>
          <w:bCs/>
          <w:color w:val="000000"/>
          <w:sz w:val="32"/>
          <w:szCs w:val="30"/>
        </w:rPr>
        <w:t>1年度居民基本医疗保险参保征缴工作，结合我市实际，制订本实施方案。</w:t>
      </w:r>
    </w:p>
    <w:p>
      <w:pPr>
        <w:widowControl w:val="0"/>
        <w:overflowPunct w:val="0"/>
        <w:adjustRightInd w:val="0"/>
        <w:snapToGrid w:val="0"/>
        <w:spacing w:line="560" w:lineRule="exact"/>
        <w:ind w:firstLine="640" w:firstLineChars="200"/>
        <w:jc w:val="both"/>
        <w:rPr>
          <w:rFonts w:ascii="黑体" w:hAnsi="黑体" w:eastAsia="黑体"/>
          <w:color w:val="000000"/>
          <w:sz w:val="32"/>
          <w:szCs w:val="32"/>
        </w:rPr>
      </w:pPr>
      <w:r>
        <w:rPr>
          <w:rFonts w:hint="eastAsia" w:ascii="黑体" w:hAnsi="黑体" w:eastAsia="黑体"/>
          <w:color w:val="000000"/>
          <w:sz w:val="32"/>
          <w:szCs w:val="32"/>
        </w:rPr>
        <w:t>一、指导思想</w:t>
      </w:r>
    </w:p>
    <w:p>
      <w:pPr>
        <w:widowControl w:val="0"/>
        <w:overflowPunct w:val="0"/>
        <w:adjustRightInd w:val="0"/>
        <w:snapToGrid w:val="0"/>
        <w:spacing w:line="560" w:lineRule="exact"/>
        <w:ind w:firstLine="640" w:firstLineChars="200"/>
        <w:jc w:val="both"/>
        <w:rPr>
          <w:rFonts w:ascii="仿宋_GB2312" w:hAnsi="仿宋_GB2312" w:eastAsia="仿宋_GB2312"/>
          <w:bCs/>
          <w:color w:val="000000"/>
          <w:sz w:val="32"/>
          <w:szCs w:val="30"/>
        </w:rPr>
      </w:pPr>
      <w:r>
        <w:rPr>
          <w:rFonts w:hint="eastAsia" w:ascii="仿宋_GB2312" w:hAnsi="宋体" w:eastAsia="仿宋_GB2312" w:cs="仿宋_GB2312"/>
          <w:snapToGrid w:val="0"/>
          <w:sz w:val="32"/>
          <w:szCs w:val="32"/>
        </w:rPr>
        <w:t>以习近平新时代中国特色社会主义思想为指导，全面贯彻党的十九大和十九届二中、三中、四中、五中全会精神</w:t>
      </w:r>
      <w:r>
        <w:rPr>
          <w:rFonts w:hint="eastAsia" w:ascii="仿宋_GB2312" w:hAnsi="仿宋_GB2312" w:eastAsia="仿宋_GB2312"/>
          <w:bCs/>
          <w:color w:val="000000"/>
          <w:sz w:val="32"/>
          <w:szCs w:val="30"/>
        </w:rPr>
        <w:t>，积极引导、鼓励城乡居民缴费参保，进一步扩大全市居民医保覆盖范围，促进应保尽保，全面完成2021年度城乡居民基本医疗保险征缴工作目标任务，为全面建设美德滕州、文明滕州、富强滕州奠定坚实基础。</w:t>
      </w:r>
    </w:p>
    <w:p>
      <w:pPr>
        <w:widowControl w:val="0"/>
        <w:overflowPunct w:val="0"/>
        <w:adjustRightInd w:val="0"/>
        <w:snapToGrid w:val="0"/>
        <w:spacing w:line="560" w:lineRule="exact"/>
        <w:ind w:firstLine="640" w:firstLineChars="200"/>
        <w:jc w:val="both"/>
        <w:rPr>
          <w:rFonts w:ascii="黑体" w:hAnsi="黑体" w:eastAsia="黑体"/>
          <w:color w:val="000000"/>
          <w:sz w:val="32"/>
          <w:szCs w:val="32"/>
        </w:rPr>
      </w:pPr>
      <w:r>
        <w:rPr>
          <w:rFonts w:hint="eastAsia" w:ascii="黑体" w:hAnsi="黑体" w:eastAsia="黑体"/>
          <w:color w:val="000000"/>
          <w:sz w:val="32"/>
          <w:szCs w:val="32"/>
        </w:rPr>
        <w:t>二、征缴内容</w:t>
      </w:r>
    </w:p>
    <w:p>
      <w:pPr>
        <w:widowControl w:val="0"/>
        <w:overflowPunct w:val="0"/>
        <w:adjustRightInd w:val="0"/>
        <w:snapToGrid w:val="0"/>
        <w:spacing w:line="560" w:lineRule="exact"/>
        <w:ind w:firstLine="640" w:firstLineChars="200"/>
        <w:jc w:val="both"/>
        <w:rPr>
          <w:rFonts w:ascii="Calibri" w:hAnsi="Calibri" w:eastAsia="仿宋_GB2312"/>
          <w:bCs/>
          <w:color w:val="000000"/>
          <w:sz w:val="32"/>
          <w:szCs w:val="30"/>
        </w:rPr>
      </w:pPr>
      <w:r>
        <w:rPr>
          <w:rFonts w:hint="eastAsia" w:ascii="楷体_GB2312" w:hAnsi="楷体" w:eastAsia="楷体_GB2312"/>
          <w:color w:val="000000"/>
          <w:sz w:val="32"/>
          <w:szCs w:val="32"/>
        </w:rPr>
        <w:t>（一）征缴标准：</w:t>
      </w:r>
      <w:r>
        <w:rPr>
          <w:rFonts w:hint="eastAsia" w:ascii="仿宋_GB2312" w:hAnsi="仿宋_GB2312" w:eastAsia="仿宋_GB2312"/>
          <w:bCs/>
          <w:color w:val="000000"/>
          <w:sz w:val="32"/>
          <w:szCs w:val="30"/>
        </w:rPr>
        <w:t>我市城乡居民医疗保险费由个人缴费和政府财政补助两部分组成。2021年度，我市居民基本医疗保险个人缴费标准为每人每年280元，城乡</w:t>
      </w:r>
      <w:r>
        <w:rPr>
          <w:rFonts w:hint="eastAsia" w:ascii="Calibri" w:hAnsi="Calibri" w:eastAsia="仿宋_GB2312"/>
          <w:bCs/>
          <w:color w:val="000000"/>
          <w:sz w:val="32"/>
          <w:szCs w:val="30"/>
        </w:rPr>
        <w:t>居民医保人均财政补助标准不</w:t>
      </w:r>
      <w:r>
        <w:rPr>
          <w:rFonts w:hint="eastAsia" w:ascii="仿宋_GB2312" w:hAnsi="仿宋_GB2312" w:eastAsia="仿宋_GB2312"/>
          <w:bCs/>
          <w:color w:val="000000"/>
          <w:sz w:val="32"/>
          <w:szCs w:val="30"/>
        </w:rPr>
        <w:t>低于550元</w:t>
      </w:r>
      <w:r>
        <w:rPr>
          <w:rFonts w:hint="eastAsia" w:ascii="Calibri" w:hAnsi="Calibri" w:eastAsia="仿宋_GB2312"/>
          <w:bCs/>
          <w:color w:val="000000"/>
          <w:sz w:val="32"/>
          <w:szCs w:val="30"/>
        </w:rPr>
        <w:t>；</w:t>
      </w:r>
      <w:r>
        <w:rPr>
          <w:rFonts w:hint="eastAsia" w:ascii="仿宋_GB2312" w:hAnsi="仿宋_GB2312" w:eastAsia="仿宋_GB2312"/>
          <w:bCs/>
          <w:color w:val="000000"/>
          <w:sz w:val="32"/>
          <w:szCs w:val="30"/>
        </w:rPr>
        <w:t>建档立卡贫困人口、低保对象等人员个人缴费享受政府资助。</w:t>
      </w:r>
    </w:p>
    <w:p>
      <w:pPr>
        <w:widowControl w:val="0"/>
        <w:overflowPunct w:val="0"/>
        <w:adjustRightInd w:val="0"/>
        <w:snapToGrid w:val="0"/>
        <w:spacing w:line="560" w:lineRule="exact"/>
        <w:ind w:firstLine="640" w:firstLineChars="200"/>
        <w:jc w:val="both"/>
        <w:rPr>
          <w:rFonts w:ascii="仿宋_GB2312" w:hAnsi="仿宋_GB2312" w:eastAsia="仿宋_GB2312"/>
          <w:bCs/>
          <w:color w:val="000000"/>
          <w:sz w:val="32"/>
          <w:szCs w:val="30"/>
        </w:rPr>
      </w:pPr>
      <w:r>
        <w:rPr>
          <w:rFonts w:hint="eastAsia" w:ascii="楷体_GB2312" w:hAnsi="楷体" w:eastAsia="楷体_GB2312"/>
          <w:color w:val="000000"/>
          <w:sz w:val="32"/>
          <w:szCs w:val="32"/>
        </w:rPr>
        <w:t>（二）政府资助缴费人员范围:</w:t>
      </w:r>
      <w:r>
        <w:rPr>
          <w:rFonts w:hint="eastAsia" w:ascii="仿宋_GB2312" w:hAnsi="仿宋_GB2312" w:eastAsia="仿宋_GB2312"/>
          <w:color w:val="000000"/>
          <w:sz w:val="32"/>
          <w:szCs w:val="30"/>
        </w:rPr>
        <w:t>（1）建档立卡贫困人口中脱贫享受政策人口和即时帮扶人口、低保对象、特困人员、孤儿、困</w:t>
      </w:r>
      <w:r>
        <w:rPr>
          <w:rFonts w:ascii="仿宋_GB2312" w:hAnsi="仿宋_GB2312" w:eastAsia="仿宋_GB2312"/>
          <w:color w:val="000000"/>
          <w:sz w:val="32"/>
          <w:szCs w:val="30"/>
        </w:rPr>
        <w:t>境儿童、</w:t>
      </w:r>
      <w:r>
        <w:rPr>
          <w:rFonts w:hint="eastAsia" w:ascii="仿宋_GB2312" w:hAnsi="仿宋_GB2312" w:eastAsia="仿宋_GB2312"/>
          <w:color w:val="000000"/>
          <w:sz w:val="32"/>
          <w:szCs w:val="30"/>
        </w:rPr>
        <w:t>事实无人抚养儿童，</w:t>
      </w:r>
      <w:r>
        <w:rPr>
          <w:rFonts w:hint="eastAsia" w:ascii="仿宋_GB2312" w:hAnsi="仿宋_GB2312" w:eastAsia="仿宋_GB2312"/>
          <w:bCs/>
          <w:color w:val="000000"/>
          <w:sz w:val="32"/>
          <w:szCs w:val="30"/>
        </w:rPr>
        <w:t>参保个人缴费部分由市财政承担；（2）</w:t>
      </w:r>
      <w:r>
        <w:rPr>
          <w:rFonts w:ascii="仿宋_GB2312" w:hAnsi="仿宋_GB2312" w:eastAsia="仿宋_GB2312"/>
          <w:color w:val="000000"/>
          <w:sz w:val="32"/>
          <w:szCs w:val="30"/>
        </w:rPr>
        <w:t>60</w:t>
      </w:r>
      <w:r>
        <w:rPr>
          <w:rFonts w:hint="eastAsia" w:ascii="仿宋_GB2312" w:hAnsi="仿宋_GB2312" w:eastAsia="仿宋_GB2312"/>
          <w:color w:val="000000"/>
          <w:sz w:val="32"/>
          <w:szCs w:val="30"/>
        </w:rPr>
        <w:t>岁</w:t>
      </w:r>
      <w:r>
        <w:rPr>
          <w:rFonts w:ascii="仿宋_GB2312" w:hAnsi="仿宋_GB2312" w:eastAsia="仿宋_GB2312"/>
          <w:color w:val="000000"/>
          <w:sz w:val="32"/>
          <w:szCs w:val="30"/>
        </w:rPr>
        <w:t>(</w:t>
      </w:r>
      <w:r>
        <w:rPr>
          <w:rFonts w:hint="eastAsia" w:ascii="仿宋_GB2312" w:hAnsi="仿宋_GB2312" w:eastAsia="仿宋_GB2312"/>
          <w:color w:val="000000"/>
          <w:sz w:val="32"/>
          <w:szCs w:val="30"/>
        </w:rPr>
        <w:t>含</w:t>
      </w:r>
      <w:r>
        <w:rPr>
          <w:rFonts w:ascii="仿宋_GB2312" w:hAnsi="仿宋_GB2312" w:eastAsia="仿宋_GB2312"/>
          <w:color w:val="000000"/>
          <w:sz w:val="32"/>
          <w:szCs w:val="30"/>
        </w:rPr>
        <w:t>60</w:t>
      </w:r>
      <w:r>
        <w:rPr>
          <w:rFonts w:hint="eastAsia" w:ascii="仿宋_GB2312" w:hAnsi="仿宋_GB2312" w:eastAsia="仿宋_GB2312"/>
          <w:color w:val="000000"/>
          <w:sz w:val="32"/>
          <w:szCs w:val="30"/>
        </w:rPr>
        <w:t>岁</w:t>
      </w:r>
      <w:r>
        <w:rPr>
          <w:rFonts w:ascii="仿宋_GB2312" w:hAnsi="仿宋_GB2312" w:eastAsia="仿宋_GB2312"/>
          <w:color w:val="000000"/>
          <w:sz w:val="32"/>
          <w:szCs w:val="30"/>
        </w:rPr>
        <w:t>)—69</w:t>
      </w:r>
      <w:r>
        <w:rPr>
          <w:rFonts w:hint="eastAsia" w:ascii="仿宋_GB2312" w:hAnsi="仿宋_GB2312" w:eastAsia="仿宋_GB2312"/>
          <w:color w:val="000000"/>
          <w:sz w:val="32"/>
          <w:szCs w:val="30"/>
        </w:rPr>
        <w:t>岁老年人，</w:t>
      </w:r>
      <w:r>
        <w:rPr>
          <w:rFonts w:hint="eastAsia" w:ascii="仿宋_GB2312" w:hAnsi="仿宋_GB2312" w:eastAsia="仿宋_GB2312"/>
          <w:bCs/>
          <w:color w:val="000000"/>
          <w:sz w:val="32"/>
          <w:szCs w:val="30"/>
        </w:rPr>
        <w:t>参保个人缴费部分由市财政承担</w:t>
      </w:r>
      <w:r>
        <w:rPr>
          <w:rFonts w:ascii="仿宋_GB2312" w:hAnsi="仿宋_GB2312" w:eastAsia="仿宋_GB2312"/>
          <w:bCs/>
          <w:color w:val="000000"/>
          <w:sz w:val="32"/>
          <w:szCs w:val="30"/>
        </w:rPr>
        <w:t>50%</w:t>
      </w:r>
      <w:r>
        <w:rPr>
          <w:rFonts w:hint="eastAsia" w:ascii="仿宋_GB2312" w:hAnsi="仿宋_GB2312" w:eastAsia="仿宋_GB2312"/>
          <w:bCs/>
          <w:color w:val="000000"/>
          <w:sz w:val="32"/>
          <w:szCs w:val="30"/>
        </w:rPr>
        <w:t>，</w:t>
      </w:r>
      <w:r>
        <w:rPr>
          <w:rFonts w:ascii="仿宋_GB2312" w:hAnsi="仿宋_GB2312" w:eastAsia="仿宋_GB2312"/>
          <w:color w:val="000000"/>
          <w:sz w:val="32"/>
          <w:szCs w:val="30"/>
        </w:rPr>
        <w:t>70</w:t>
      </w:r>
      <w:r>
        <w:rPr>
          <w:rFonts w:hint="eastAsia" w:ascii="仿宋_GB2312" w:hAnsi="仿宋_GB2312" w:eastAsia="仿宋_GB2312"/>
          <w:color w:val="000000"/>
          <w:sz w:val="32"/>
          <w:szCs w:val="30"/>
        </w:rPr>
        <w:t>岁（含</w:t>
      </w:r>
      <w:r>
        <w:rPr>
          <w:rFonts w:ascii="仿宋_GB2312" w:hAnsi="仿宋_GB2312" w:eastAsia="仿宋_GB2312"/>
          <w:color w:val="000000"/>
          <w:sz w:val="32"/>
          <w:szCs w:val="30"/>
        </w:rPr>
        <w:t>70</w:t>
      </w:r>
      <w:r>
        <w:rPr>
          <w:rFonts w:hint="eastAsia" w:ascii="仿宋_GB2312" w:hAnsi="仿宋_GB2312" w:eastAsia="仿宋_GB2312"/>
          <w:color w:val="000000"/>
          <w:sz w:val="32"/>
          <w:szCs w:val="30"/>
        </w:rPr>
        <w:t>岁）以上老年人，</w:t>
      </w:r>
      <w:r>
        <w:rPr>
          <w:rFonts w:hint="eastAsia" w:ascii="仿宋_GB2312" w:hAnsi="仿宋_GB2312" w:eastAsia="仿宋_GB2312"/>
          <w:bCs/>
          <w:color w:val="000000"/>
          <w:sz w:val="32"/>
          <w:szCs w:val="30"/>
        </w:rPr>
        <w:t>参保个人缴费部分由市财政承担；（3）</w:t>
      </w:r>
      <w:r>
        <w:rPr>
          <w:rFonts w:hint="eastAsia" w:ascii="仿宋_GB2312" w:hAnsi="仿宋_GB2312" w:eastAsia="仿宋_GB2312"/>
          <w:color w:val="000000"/>
          <w:sz w:val="32"/>
          <w:szCs w:val="30"/>
        </w:rPr>
        <w:t>农村一女、双女、独生子女伤亡病残家庭孩子及其父母，</w:t>
      </w:r>
      <w:r>
        <w:rPr>
          <w:rFonts w:hint="eastAsia" w:ascii="仿宋_GB2312" w:hAnsi="仿宋_GB2312" w:eastAsia="仿宋_GB2312"/>
          <w:bCs/>
          <w:color w:val="000000"/>
          <w:sz w:val="32"/>
          <w:szCs w:val="30"/>
        </w:rPr>
        <w:t>参保个人缴费部分由市、镇（街）财政各承担</w:t>
      </w:r>
      <w:r>
        <w:rPr>
          <w:rFonts w:ascii="仿宋_GB2312" w:hAnsi="仿宋_GB2312" w:eastAsia="仿宋_GB2312"/>
          <w:bCs/>
          <w:color w:val="000000"/>
          <w:sz w:val="32"/>
          <w:szCs w:val="30"/>
        </w:rPr>
        <w:t>50%</w:t>
      </w:r>
      <w:r>
        <w:rPr>
          <w:rFonts w:hint="eastAsia" w:ascii="仿宋_GB2312" w:hAnsi="仿宋_GB2312" w:eastAsia="仿宋_GB2312"/>
          <w:bCs/>
          <w:color w:val="000000"/>
          <w:sz w:val="32"/>
          <w:szCs w:val="30"/>
        </w:rPr>
        <w:t>；（4）</w:t>
      </w:r>
      <w:r>
        <w:rPr>
          <w:rFonts w:hint="eastAsia" w:ascii="仿宋_GB2312" w:hAnsi="仿宋_GB2312" w:eastAsia="仿宋_GB2312"/>
          <w:color w:val="000000"/>
          <w:sz w:val="32"/>
          <w:szCs w:val="30"/>
        </w:rPr>
        <w:t>重度残疾人，</w:t>
      </w:r>
      <w:r>
        <w:rPr>
          <w:rFonts w:hint="eastAsia" w:ascii="仿宋_GB2312" w:hAnsi="仿宋_GB2312" w:eastAsia="仿宋_GB2312"/>
          <w:bCs/>
          <w:color w:val="000000"/>
          <w:sz w:val="32"/>
          <w:szCs w:val="30"/>
        </w:rPr>
        <w:t>参保个人缴费部分由市财政承担；（5）</w:t>
      </w:r>
      <w:r>
        <w:rPr>
          <w:rFonts w:hint="eastAsia" w:ascii="仿宋_GB2312" w:hAnsi="仿宋_GB2312" w:eastAsia="仿宋_GB2312"/>
          <w:color w:val="000000"/>
          <w:sz w:val="32"/>
          <w:szCs w:val="30"/>
        </w:rPr>
        <w:t>抚恤定补优抚对象，</w:t>
      </w:r>
      <w:r>
        <w:rPr>
          <w:rFonts w:hint="eastAsia" w:ascii="仿宋_GB2312" w:hAnsi="仿宋_GB2312" w:eastAsia="仿宋_GB2312"/>
          <w:bCs/>
          <w:color w:val="000000"/>
          <w:sz w:val="32"/>
          <w:szCs w:val="30"/>
        </w:rPr>
        <w:t>参保个人缴费部分由市财政承担。</w:t>
      </w:r>
    </w:p>
    <w:p>
      <w:pPr>
        <w:widowControl w:val="0"/>
        <w:overflowPunct w:val="0"/>
        <w:adjustRightInd w:val="0"/>
        <w:snapToGrid w:val="0"/>
        <w:spacing w:line="560" w:lineRule="exact"/>
        <w:ind w:firstLine="640" w:firstLineChars="200"/>
        <w:jc w:val="both"/>
        <w:rPr>
          <w:rFonts w:ascii="仿宋_GB2312" w:hAnsi="仿宋_GB2312" w:eastAsia="仿宋_GB2312"/>
          <w:bCs/>
          <w:color w:val="000000"/>
          <w:sz w:val="32"/>
          <w:szCs w:val="30"/>
        </w:rPr>
      </w:pPr>
      <w:r>
        <w:rPr>
          <w:rFonts w:hint="eastAsia" w:ascii="仿宋_GB2312" w:hAnsi="仿宋_GB2312" w:eastAsia="仿宋_GB2312"/>
          <w:bCs/>
          <w:color w:val="000000"/>
          <w:sz w:val="32"/>
          <w:szCs w:val="30"/>
        </w:rPr>
        <w:t>符合政府资助人员的资格认定，由相关部门根据职责确定；符合多个资助条件的，按最高资助待遇交费，不能重复享受资助。以上资助资金列入市、镇（街）财政预算。</w:t>
      </w:r>
    </w:p>
    <w:p>
      <w:pPr>
        <w:widowControl w:val="0"/>
        <w:overflowPunct w:val="0"/>
        <w:adjustRightInd w:val="0"/>
        <w:snapToGrid w:val="0"/>
        <w:spacing w:line="560" w:lineRule="exact"/>
        <w:ind w:firstLine="640" w:firstLineChars="200"/>
        <w:jc w:val="both"/>
        <w:rPr>
          <w:rFonts w:ascii="楷体" w:hAnsi="楷体" w:eastAsia="楷体"/>
          <w:color w:val="000000"/>
          <w:sz w:val="32"/>
          <w:szCs w:val="32"/>
        </w:rPr>
      </w:pPr>
      <w:r>
        <w:rPr>
          <w:rFonts w:hint="eastAsia" w:ascii="楷体_GB2312" w:hAnsi="楷体" w:eastAsia="楷体_GB2312"/>
          <w:color w:val="000000"/>
          <w:sz w:val="32"/>
          <w:szCs w:val="32"/>
        </w:rPr>
        <w:t>（三）集中征缴期：</w:t>
      </w:r>
      <w:r>
        <w:rPr>
          <w:rFonts w:hint="eastAsia" w:ascii="仿宋_GB2312" w:hAnsi="仿宋_GB2312" w:eastAsia="仿宋_GB2312"/>
          <w:bCs/>
          <w:color w:val="000000"/>
          <w:sz w:val="32"/>
          <w:szCs w:val="30"/>
        </w:rPr>
        <w:t>2020年11月1日—12月20日（政府资助人员可延长1个月），</w:t>
      </w:r>
      <w:r>
        <w:rPr>
          <w:rFonts w:ascii="仿宋_GB2312" w:hAnsi="仿宋_GB2312" w:eastAsia="仿宋_GB2312"/>
          <w:bCs/>
          <w:color w:val="000000"/>
          <w:sz w:val="32"/>
          <w:szCs w:val="30"/>
        </w:rPr>
        <w:t>居民应在规定时间内</w:t>
      </w:r>
      <w:r>
        <w:rPr>
          <w:rFonts w:hint="eastAsia" w:ascii="仿宋_GB2312" w:hAnsi="仿宋_GB2312" w:eastAsia="仿宋_GB2312"/>
          <w:bCs/>
          <w:color w:val="000000"/>
          <w:sz w:val="32"/>
          <w:szCs w:val="30"/>
        </w:rPr>
        <w:t>参保</w:t>
      </w:r>
      <w:r>
        <w:rPr>
          <w:rFonts w:ascii="仿宋_GB2312" w:hAnsi="仿宋_GB2312" w:eastAsia="仿宋_GB2312"/>
          <w:bCs/>
          <w:color w:val="000000"/>
          <w:sz w:val="32"/>
          <w:szCs w:val="30"/>
        </w:rPr>
        <w:t>缴费</w:t>
      </w:r>
      <w:r>
        <w:rPr>
          <w:rFonts w:hint="eastAsia" w:ascii="仿宋_GB2312" w:hAnsi="仿宋_GB2312" w:eastAsia="仿宋_GB2312"/>
          <w:bCs/>
          <w:color w:val="000000"/>
          <w:sz w:val="32"/>
          <w:szCs w:val="30"/>
        </w:rPr>
        <w:t>，否则需全额缴纳包括各级政府补助（资助）资金在内的居民基本医疗保险费，且缴费</w:t>
      </w:r>
      <w:r>
        <w:rPr>
          <w:rFonts w:ascii="仿宋_GB2312" w:hAnsi="仿宋_GB2312" w:eastAsia="仿宋_GB2312"/>
          <w:bCs/>
          <w:color w:val="000000"/>
          <w:sz w:val="32"/>
          <w:szCs w:val="30"/>
        </w:rPr>
        <w:t>30</w:t>
      </w:r>
      <w:r>
        <w:rPr>
          <w:rFonts w:hint="eastAsia" w:ascii="仿宋_GB2312" w:hAnsi="仿宋_GB2312" w:eastAsia="仿宋_GB2312"/>
          <w:bCs/>
          <w:color w:val="000000"/>
          <w:sz w:val="32"/>
          <w:szCs w:val="30"/>
        </w:rPr>
        <w:t>日后方可享受居民基本医疗保险待遇。</w:t>
      </w:r>
    </w:p>
    <w:p>
      <w:pPr>
        <w:widowControl w:val="0"/>
        <w:overflowPunct w:val="0"/>
        <w:adjustRightInd w:val="0"/>
        <w:snapToGrid w:val="0"/>
        <w:spacing w:line="560" w:lineRule="exact"/>
        <w:ind w:firstLine="640" w:firstLineChars="200"/>
        <w:jc w:val="both"/>
        <w:rPr>
          <w:rFonts w:ascii="仿宋_GB2312" w:hAnsi="仿宋_GB2312" w:eastAsia="仿宋_GB2312"/>
          <w:bCs/>
          <w:color w:val="000000"/>
          <w:sz w:val="32"/>
          <w:szCs w:val="30"/>
        </w:rPr>
      </w:pPr>
      <w:r>
        <w:rPr>
          <w:rFonts w:hint="eastAsia" w:ascii="楷体_GB2312" w:hAnsi="楷体" w:eastAsia="楷体_GB2312"/>
          <w:color w:val="000000"/>
          <w:sz w:val="32"/>
          <w:szCs w:val="32"/>
        </w:rPr>
        <w:t>（四）征缴范围：</w:t>
      </w:r>
      <w:r>
        <w:rPr>
          <w:rFonts w:hint="eastAsia" w:ascii="仿宋_GB2312" w:hAnsi="仿宋_GB2312" w:eastAsia="仿宋_GB2312"/>
          <w:bCs/>
          <w:color w:val="000000"/>
          <w:sz w:val="32"/>
          <w:szCs w:val="30"/>
        </w:rPr>
        <w:t>具有我市户籍且不属于城镇职工基本医疗保险参保范围的城乡居民；在我市各类全日制高等学校（含民办高校、技师学院）和中等职业学校在读的非滕州市户籍学生；在我市长期居住且取得居住证的非本市户籍人员及其随迁子女。</w:t>
      </w:r>
    </w:p>
    <w:p>
      <w:pPr>
        <w:widowControl w:val="0"/>
        <w:overflowPunct w:val="0"/>
        <w:adjustRightInd w:val="0"/>
        <w:snapToGrid w:val="0"/>
        <w:spacing w:line="560" w:lineRule="exact"/>
        <w:ind w:firstLine="640" w:firstLineChars="200"/>
        <w:jc w:val="both"/>
        <w:rPr>
          <w:rFonts w:ascii="仿宋_GB2312" w:hAnsi="仿宋_GB2312" w:eastAsia="仿宋_GB2312"/>
          <w:bCs/>
          <w:color w:val="FF0000"/>
          <w:sz w:val="32"/>
          <w:szCs w:val="30"/>
        </w:rPr>
      </w:pPr>
      <w:r>
        <w:rPr>
          <w:rFonts w:hint="eastAsia" w:ascii="楷体_GB2312" w:hAnsi="楷体" w:eastAsia="楷体_GB2312"/>
          <w:color w:val="000000"/>
          <w:sz w:val="32"/>
          <w:szCs w:val="32"/>
        </w:rPr>
        <w:t>（五）征缴方式：</w:t>
      </w:r>
      <w:r>
        <w:rPr>
          <w:rFonts w:hint="eastAsia" w:ascii="仿宋_GB2312" w:hAnsi="仿宋_GB2312" w:eastAsia="仿宋_GB2312"/>
          <w:bCs/>
          <w:color w:val="000000"/>
          <w:sz w:val="32"/>
          <w:szCs w:val="30"/>
        </w:rPr>
        <w:t>（1）</w:t>
      </w:r>
      <w:r>
        <w:rPr>
          <w:rFonts w:hint="eastAsia" w:ascii="仿宋_GB2312" w:hAnsi="仿宋_GB2312" w:eastAsia="仿宋_GB2312"/>
          <w:color w:val="000000"/>
          <w:sz w:val="32"/>
          <w:szCs w:val="30"/>
        </w:rPr>
        <w:t>普通居民，</w:t>
      </w:r>
      <w:r>
        <w:rPr>
          <w:rFonts w:hint="eastAsia" w:ascii="仿宋_GB2312" w:hAnsi="仿宋_GB2312" w:eastAsia="仿宋_GB2312"/>
          <w:bCs/>
          <w:sz w:val="32"/>
          <w:szCs w:val="30"/>
        </w:rPr>
        <w:t>以镇街为主导，组织辖区</w:t>
      </w:r>
      <w:r>
        <w:rPr>
          <w:rFonts w:ascii="仿宋_GB2312" w:hAnsi="仿宋_GB2312" w:eastAsia="仿宋_GB2312"/>
          <w:bCs/>
          <w:sz w:val="32"/>
          <w:szCs w:val="30"/>
        </w:rPr>
        <w:t>内</w:t>
      </w:r>
      <w:r>
        <w:rPr>
          <w:rFonts w:hint="eastAsia" w:ascii="仿宋_GB2312" w:hAnsi="仿宋_GB2312" w:eastAsia="仿宋_GB2312"/>
          <w:bCs/>
          <w:sz w:val="32"/>
          <w:szCs w:val="30"/>
        </w:rPr>
        <w:t>村（社区）城乡居民开展集中征缴工作。</w:t>
      </w:r>
      <w:r>
        <w:rPr>
          <w:rFonts w:hint="eastAsia" w:ascii="仿宋_GB2312" w:hAnsi="仿宋_GB2312" w:eastAsia="仿宋_GB2312"/>
          <w:bCs/>
          <w:color w:val="000000"/>
          <w:sz w:val="32"/>
          <w:szCs w:val="30"/>
        </w:rPr>
        <w:t>可组织居民个人通过建行裕农通、电子税务局、微信、支付宝、银联商务二维码、办税（缴费）服务大厅、银行柜台等多种渠道办理个人缴费。（2）</w:t>
      </w:r>
      <w:r>
        <w:rPr>
          <w:rFonts w:ascii="仿宋_GB2312" w:hAnsi="仿宋_GB2312" w:eastAsia="仿宋_GB2312"/>
          <w:color w:val="000000"/>
          <w:sz w:val="32"/>
          <w:szCs w:val="30"/>
        </w:rPr>
        <w:t>政府</w:t>
      </w:r>
      <w:r>
        <w:rPr>
          <w:rFonts w:hint="eastAsia" w:ascii="仿宋_GB2312" w:hAnsi="仿宋_GB2312" w:eastAsia="仿宋_GB2312"/>
          <w:color w:val="000000"/>
          <w:sz w:val="32"/>
          <w:szCs w:val="30"/>
        </w:rPr>
        <w:t>资助人员，</w:t>
      </w:r>
      <w:r>
        <w:rPr>
          <w:rFonts w:hint="eastAsia" w:ascii="仿宋_GB2312" w:hAnsi="仿宋_GB2312" w:eastAsia="仿宋_GB2312"/>
          <w:bCs/>
          <w:color w:val="000000"/>
          <w:sz w:val="32"/>
          <w:szCs w:val="30"/>
        </w:rPr>
        <w:t>由市扶贫办、市民政局、市卫健局、市残联、市退役军人事务局等部门根据职责分别确认政府资助人员的资格信息，核对无误后向市医保局提供《政府</w:t>
      </w:r>
      <w:r>
        <w:rPr>
          <w:rFonts w:ascii="仿宋_GB2312" w:hAnsi="仿宋_GB2312" w:eastAsia="仿宋_GB2312"/>
          <w:bCs/>
          <w:color w:val="000000"/>
          <w:sz w:val="32"/>
          <w:szCs w:val="30"/>
        </w:rPr>
        <w:t>资助</w:t>
      </w:r>
      <w:r>
        <w:rPr>
          <w:rFonts w:hint="eastAsia" w:ascii="仿宋_GB2312" w:hAnsi="仿宋_GB2312" w:eastAsia="仿宋_GB2312"/>
          <w:bCs/>
          <w:color w:val="000000"/>
          <w:sz w:val="32"/>
          <w:szCs w:val="30"/>
        </w:rPr>
        <w:t>人员名单》,作为最终财政配套依据。</w:t>
      </w:r>
    </w:p>
    <w:p>
      <w:pPr>
        <w:widowControl w:val="0"/>
        <w:overflowPunct w:val="0"/>
        <w:adjustRightInd w:val="0"/>
        <w:snapToGrid w:val="0"/>
        <w:spacing w:line="560" w:lineRule="exact"/>
        <w:ind w:firstLine="640" w:firstLineChars="200"/>
        <w:jc w:val="both"/>
        <w:rPr>
          <w:rFonts w:ascii="仿宋_GB2312" w:hAnsi="仿宋_GB2312" w:eastAsia="仿宋_GB2312"/>
          <w:bCs/>
          <w:color w:val="000000"/>
          <w:sz w:val="32"/>
          <w:szCs w:val="30"/>
          <w:u w:val="double"/>
        </w:rPr>
      </w:pPr>
      <w:r>
        <w:rPr>
          <w:rFonts w:hint="eastAsia" w:ascii="楷体_GB2312" w:hAnsi="楷体" w:eastAsia="楷体_GB2312"/>
          <w:color w:val="000000"/>
          <w:sz w:val="32"/>
          <w:szCs w:val="32"/>
        </w:rPr>
        <w:t>（六）征缴任务：</w:t>
      </w:r>
      <w:r>
        <w:rPr>
          <w:rFonts w:hint="eastAsia" w:ascii="仿宋_GB2312" w:hAnsi="仿宋_GB2312" w:eastAsia="仿宋_GB2312"/>
          <w:bCs/>
          <w:color w:val="000000"/>
          <w:sz w:val="32"/>
          <w:szCs w:val="30"/>
        </w:rPr>
        <w:t>见附件《2021年度各镇街居民医保参保征缴任务表》。</w:t>
      </w:r>
    </w:p>
    <w:p>
      <w:pPr>
        <w:widowControl w:val="0"/>
        <w:overflowPunct w:val="0"/>
        <w:adjustRightInd w:val="0"/>
        <w:snapToGrid w:val="0"/>
        <w:spacing w:line="560" w:lineRule="exact"/>
        <w:ind w:firstLine="640" w:firstLineChars="200"/>
        <w:jc w:val="both"/>
        <w:rPr>
          <w:rFonts w:ascii="黑体" w:hAnsi="黑体" w:eastAsia="黑体"/>
          <w:color w:val="000000"/>
          <w:sz w:val="32"/>
          <w:szCs w:val="32"/>
        </w:rPr>
      </w:pPr>
      <w:r>
        <w:rPr>
          <w:rFonts w:hint="eastAsia" w:ascii="黑体" w:hAnsi="黑体" w:eastAsia="黑体"/>
          <w:color w:val="000000"/>
          <w:sz w:val="32"/>
          <w:szCs w:val="32"/>
        </w:rPr>
        <w:t>三、任务分工</w:t>
      </w:r>
    </w:p>
    <w:p>
      <w:pPr>
        <w:widowControl w:val="0"/>
        <w:overflowPunct w:val="0"/>
        <w:adjustRightInd w:val="0"/>
        <w:snapToGrid w:val="0"/>
        <w:spacing w:line="560" w:lineRule="exact"/>
        <w:ind w:firstLine="640" w:firstLineChars="200"/>
        <w:jc w:val="both"/>
        <w:rPr>
          <w:rFonts w:ascii="仿宋_GB2312" w:hAnsi="仿宋_GB2312" w:eastAsia="仿宋_GB2312"/>
          <w:bCs/>
          <w:color w:val="000000"/>
          <w:sz w:val="32"/>
          <w:szCs w:val="30"/>
        </w:rPr>
      </w:pPr>
      <w:r>
        <w:rPr>
          <w:rFonts w:hint="eastAsia" w:ascii="仿宋_GB2312" w:hAnsi="仿宋_GB2312" w:eastAsia="仿宋_GB2312"/>
          <w:bCs/>
          <w:color w:val="000000"/>
          <w:sz w:val="32"/>
          <w:szCs w:val="30"/>
        </w:rPr>
        <w:t>（一）各镇街要开展多种形式的征缴宣传工作，切实做到家喻户晓、人人皆知；负责做好参保登记、信息传递等工作；负责组织居民基本医疗保险费的集中征缴，并加强资金监管工作，确保资助资金及个人缴纳资金按时划入国库指定银行账户；各镇街要做好集中征缴期间的舆情管控工作。</w:t>
      </w:r>
    </w:p>
    <w:p>
      <w:pPr>
        <w:widowControl w:val="0"/>
        <w:overflowPunct w:val="0"/>
        <w:adjustRightInd w:val="0"/>
        <w:snapToGrid w:val="0"/>
        <w:spacing w:line="560" w:lineRule="exact"/>
        <w:ind w:firstLine="640" w:firstLineChars="200"/>
        <w:jc w:val="both"/>
        <w:rPr>
          <w:rFonts w:ascii="仿宋_GB2312" w:hAnsi="仿宋_GB2312" w:eastAsia="仿宋_GB2312"/>
          <w:bCs/>
          <w:color w:val="000000"/>
          <w:sz w:val="32"/>
          <w:szCs w:val="30"/>
        </w:rPr>
      </w:pPr>
      <w:r>
        <w:rPr>
          <w:rFonts w:hint="eastAsia" w:ascii="仿宋_GB2312" w:hAnsi="仿宋_GB2312" w:eastAsia="仿宋_GB2312"/>
          <w:bCs/>
          <w:color w:val="000000"/>
          <w:sz w:val="32"/>
          <w:szCs w:val="30"/>
        </w:rPr>
        <w:t>（二）市扶贫办、市民政局、市卫健局、市残联、市退役军人事务局等负责及时</w:t>
      </w:r>
      <w:r>
        <w:rPr>
          <w:rFonts w:ascii="仿宋_GB2312" w:hAnsi="仿宋_GB2312" w:eastAsia="仿宋_GB2312"/>
          <w:bCs/>
          <w:color w:val="000000"/>
          <w:sz w:val="32"/>
          <w:szCs w:val="30"/>
        </w:rPr>
        <w:t>、准确</w:t>
      </w:r>
      <w:r>
        <w:rPr>
          <w:rFonts w:hint="eastAsia" w:ascii="仿宋_GB2312" w:hAnsi="仿宋_GB2312" w:eastAsia="仿宋_GB2312"/>
          <w:bCs/>
          <w:color w:val="000000"/>
          <w:sz w:val="32"/>
          <w:szCs w:val="30"/>
        </w:rPr>
        <w:t>做好各类资助人员的信息提供和资格确认工作，对市</w:t>
      </w:r>
      <w:r>
        <w:rPr>
          <w:rFonts w:ascii="仿宋_GB2312" w:hAnsi="仿宋_GB2312" w:eastAsia="仿宋_GB2312"/>
          <w:bCs/>
          <w:color w:val="000000"/>
          <w:sz w:val="32"/>
          <w:szCs w:val="30"/>
        </w:rPr>
        <w:t>税务局、</w:t>
      </w:r>
      <w:r>
        <w:rPr>
          <w:rFonts w:hint="eastAsia" w:ascii="仿宋_GB2312" w:hAnsi="仿宋_GB2312" w:eastAsia="仿宋_GB2312"/>
          <w:bCs/>
          <w:color w:val="000000"/>
          <w:sz w:val="32"/>
          <w:szCs w:val="30"/>
        </w:rPr>
        <w:t>市</w:t>
      </w:r>
      <w:r>
        <w:rPr>
          <w:rFonts w:ascii="仿宋_GB2312" w:hAnsi="仿宋_GB2312" w:eastAsia="仿宋_GB2312"/>
          <w:bCs/>
          <w:color w:val="000000"/>
          <w:sz w:val="32"/>
          <w:szCs w:val="30"/>
        </w:rPr>
        <w:t>医保局反馈的错误信息及时核实，</w:t>
      </w:r>
      <w:r>
        <w:rPr>
          <w:rFonts w:hint="eastAsia" w:ascii="仿宋_GB2312" w:hAnsi="仿宋_GB2312" w:eastAsia="仿宋_GB2312"/>
          <w:bCs/>
          <w:color w:val="000000"/>
          <w:sz w:val="32"/>
          <w:szCs w:val="30"/>
        </w:rPr>
        <w:t>确保享受政府资助人员不遗漏、不重复。</w:t>
      </w:r>
    </w:p>
    <w:p>
      <w:pPr>
        <w:widowControl w:val="0"/>
        <w:overflowPunct w:val="0"/>
        <w:adjustRightInd w:val="0"/>
        <w:snapToGrid w:val="0"/>
        <w:spacing w:line="560" w:lineRule="exact"/>
        <w:ind w:firstLine="640" w:firstLineChars="200"/>
        <w:jc w:val="both"/>
        <w:rPr>
          <w:rFonts w:ascii="仿宋_GB2312" w:hAnsi="仿宋_GB2312" w:eastAsia="仿宋_GB2312"/>
          <w:bCs/>
          <w:color w:val="000000"/>
          <w:sz w:val="32"/>
          <w:szCs w:val="30"/>
        </w:rPr>
      </w:pPr>
      <w:r>
        <w:rPr>
          <w:rFonts w:hint="eastAsia" w:ascii="仿宋_GB2312" w:hAnsi="仿宋_GB2312" w:eastAsia="仿宋_GB2312"/>
          <w:bCs/>
          <w:color w:val="000000"/>
          <w:sz w:val="32"/>
          <w:szCs w:val="30"/>
        </w:rPr>
        <w:t>（三）市财政局负责做好资助资金和配套资金的拨付、审核和</w:t>
      </w:r>
      <w:r>
        <w:rPr>
          <w:rFonts w:ascii="仿宋_GB2312" w:hAnsi="仿宋_GB2312" w:eastAsia="仿宋_GB2312"/>
          <w:bCs/>
          <w:color w:val="000000"/>
          <w:sz w:val="32"/>
          <w:szCs w:val="30"/>
        </w:rPr>
        <w:t>监管</w:t>
      </w:r>
      <w:r>
        <w:rPr>
          <w:rFonts w:hint="eastAsia" w:ascii="仿宋_GB2312" w:hAnsi="仿宋_GB2312" w:eastAsia="仿宋_GB2312"/>
          <w:bCs/>
          <w:color w:val="000000"/>
          <w:sz w:val="32"/>
          <w:szCs w:val="30"/>
        </w:rPr>
        <w:t>工作。</w:t>
      </w:r>
    </w:p>
    <w:p>
      <w:pPr>
        <w:widowControl w:val="0"/>
        <w:overflowPunct w:val="0"/>
        <w:adjustRightInd w:val="0"/>
        <w:snapToGrid w:val="0"/>
        <w:spacing w:line="560" w:lineRule="exact"/>
        <w:ind w:firstLine="640" w:firstLineChars="200"/>
        <w:jc w:val="both"/>
        <w:rPr>
          <w:rFonts w:ascii="仿宋_GB2312" w:hAnsi="仿宋_GB2312" w:eastAsia="仿宋_GB2312"/>
          <w:bCs/>
          <w:color w:val="000000"/>
          <w:sz w:val="32"/>
          <w:szCs w:val="30"/>
        </w:rPr>
      </w:pPr>
      <w:r>
        <w:rPr>
          <w:rFonts w:hint="eastAsia" w:ascii="仿宋_GB2312" w:hAnsi="仿宋_GB2312" w:eastAsia="仿宋_GB2312"/>
          <w:bCs/>
          <w:color w:val="000000"/>
          <w:sz w:val="32"/>
          <w:szCs w:val="30"/>
        </w:rPr>
        <w:t>（四）市税务局负责保障各缴费渠道畅通，及时将缴费信息共享给市医保局；牵头组织城乡居民医疗保险费征缴工作，指导各镇街开展居民缴费工作，确保按时完成征缴任务；会同市医保局向市财政局提交资助资金拨付申请。</w:t>
      </w:r>
    </w:p>
    <w:p>
      <w:pPr>
        <w:widowControl w:val="0"/>
        <w:overflowPunct w:val="0"/>
        <w:adjustRightInd w:val="0"/>
        <w:snapToGrid w:val="0"/>
        <w:spacing w:line="560" w:lineRule="exact"/>
        <w:ind w:firstLine="640" w:firstLineChars="200"/>
        <w:jc w:val="both"/>
        <w:rPr>
          <w:rFonts w:ascii="仿宋_GB2312" w:hAnsi="仿宋_GB2312" w:eastAsia="仿宋_GB2312"/>
          <w:bCs/>
          <w:color w:val="000000"/>
          <w:sz w:val="32"/>
          <w:szCs w:val="30"/>
        </w:rPr>
      </w:pPr>
      <w:r>
        <w:rPr>
          <w:rFonts w:hint="eastAsia" w:ascii="仿宋_GB2312" w:hAnsi="仿宋_GB2312" w:eastAsia="仿宋_GB2312"/>
          <w:bCs/>
          <w:color w:val="000000"/>
          <w:sz w:val="32"/>
          <w:szCs w:val="30"/>
        </w:rPr>
        <w:t>（五）市医保局负责配合市税务局做好居民基本医疗保险征缴业务</w:t>
      </w:r>
      <w:r>
        <w:rPr>
          <w:rFonts w:ascii="仿宋_GB2312" w:hAnsi="仿宋_GB2312" w:eastAsia="仿宋_GB2312"/>
          <w:bCs/>
          <w:color w:val="000000"/>
          <w:sz w:val="32"/>
          <w:szCs w:val="30"/>
        </w:rPr>
        <w:t>的</w:t>
      </w:r>
      <w:r>
        <w:rPr>
          <w:rFonts w:hint="eastAsia" w:ascii="仿宋_GB2312" w:hAnsi="仿宋_GB2312" w:eastAsia="仿宋_GB2312"/>
          <w:bCs/>
          <w:color w:val="000000"/>
          <w:sz w:val="32"/>
          <w:szCs w:val="30"/>
        </w:rPr>
        <w:t>指导工作。对各部门提供的政府资助人员名单及信息及时汇总、传递至市税务局，会同市税务局向市财政局提交资助资金拨付申请。</w:t>
      </w:r>
    </w:p>
    <w:p>
      <w:pPr>
        <w:widowControl w:val="0"/>
        <w:overflowPunct w:val="0"/>
        <w:adjustRightInd w:val="0"/>
        <w:snapToGrid w:val="0"/>
        <w:spacing w:line="560" w:lineRule="exact"/>
        <w:ind w:firstLine="640" w:firstLineChars="200"/>
        <w:jc w:val="both"/>
        <w:rPr>
          <w:rFonts w:ascii="仿宋_GB2312" w:hAnsi="仿宋_GB2312" w:eastAsia="仿宋_GB2312"/>
          <w:bCs/>
          <w:color w:val="000000"/>
          <w:sz w:val="32"/>
          <w:szCs w:val="30"/>
        </w:rPr>
      </w:pPr>
      <w:r>
        <w:rPr>
          <w:rFonts w:hint="eastAsia" w:ascii="仿宋_GB2312" w:hAnsi="仿宋_GB2312" w:eastAsia="仿宋_GB2312"/>
          <w:bCs/>
          <w:color w:val="000000"/>
          <w:sz w:val="32"/>
          <w:szCs w:val="30"/>
        </w:rPr>
        <w:t>（</w:t>
      </w:r>
      <w:r>
        <w:rPr>
          <w:rFonts w:ascii="仿宋_GB2312" w:hAnsi="仿宋_GB2312" w:eastAsia="仿宋_GB2312"/>
          <w:bCs/>
          <w:color w:val="000000"/>
          <w:sz w:val="32"/>
          <w:szCs w:val="30"/>
        </w:rPr>
        <w:t>六）</w:t>
      </w:r>
      <w:r>
        <w:rPr>
          <w:rFonts w:hint="eastAsia" w:ascii="仿宋_GB2312" w:hAnsi="仿宋_GB2312" w:eastAsia="仿宋_GB2312"/>
          <w:bCs/>
          <w:color w:val="000000"/>
          <w:sz w:val="32"/>
          <w:szCs w:val="30"/>
        </w:rPr>
        <w:t>市委市政府督办中心联合市税务局、市财政局、市医保局等部门，定期督导调度镇街征缴进度。</w:t>
      </w:r>
    </w:p>
    <w:p>
      <w:pPr>
        <w:widowControl w:val="0"/>
        <w:overflowPunct w:val="0"/>
        <w:adjustRightInd w:val="0"/>
        <w:snapToGrid w:val="0"/>
        <w:spacing w:line="560" w:lineRule="exact"/>
        <w:ind w:firstLine="640" w:firstLineChars="200"/>
        <w:jc w:val="both"/>
        <w:rPr>
          <w:rFonts w:ascii="仿宋_GB2312" w:hAnsi="仿宋_GB2312" w:eastAsia="仿宋_GB2312"/>
          <w:bCs/>
          <w:color w:val="000000"/>
          <w:sz w:val="32"/>
          <w:szCs w:val="30"/>
        </w:rPr>
      </w:pPr>
      <w:r>
        <w:rPr>
          <w:rFonts w:hint="eastAsia" w:ascii="仿宋_GB2312" w:hAnsi="仿宋_GB2312" w:eastAsia="仿宋_GB2312"/>
          <w:bCs/>
          <w:color w:val="000000"/>
          <w:sz w:val="32"/>
          <w:szCs w:val="30"/>
        </w:rPr>
        <w:t>（七</w:t>
      </w:r>
      <w:r>
        <w:rPr>
          <w:rFonts w:ascii="仿宋_GB2312" w:hAnsi="仿宋_GB2312" w:eastAsia="仿宋_GB2312"/>
          <w:bCs/>
          <w:color w:val="000000"/>
          <w:sz w:val="32"/>
          <w:szCs w:val="30"/>
        </w:rPr>
        <w:t>）</w:t>
      </w:r>
      <w:r>
        <w:rPr>
          <w:rFonts w:hint="eastAsia" w:ascii="仿宋_GB2312" w:hAnsi="仿宋_GB2312" w:eastAsia="仿宋_GB2312"/>
          <w:bCs/>
          <w:color w:val="000000"/>
          <w:sz w:val="32"/>
          <w:szCs w:val="30"/>
        </w:rPr>
        <w:t>市融媒体中心要配合做好征缴宣传工作。</w:t>
      </w:r>
    </w:p>
    <w:p>
      <w:pPr>
        <w:widowControl w:val="0"/>
        <w:overflowPunct w:val="0"/>
        <w:adjustRightInd w:val="0"/>
        <w:snapToGrid w:val="0"/>
        <w:spacing w:line="560" w:lineRule="exact"/>
        <w:ind w:firstLine="640" w:firstLineChars="200"/>
        <w:jc w:val="both"/>
        <w:rPr>
          <w:rFonts w:ascii="黑体" w:hAnsi="黑体" w:eastAsia="黑体"/>
          <w:color w:val="000000"/>
          <w:sz w:val="32"/>
          <w:szCs w:val="32"/>
        </w:rPr>
      </w:pPr>
      <w:r>
        <w:rPr>
          <w:rFonts w:hint="eastAsia" w:ascii="黑体" w:hAnsi="黑体" w:eastAsia="黑体"/>
          <w:color w:val="000000"/>
          <w:sz w:val="32"/>
          <w:szCs w:val="32"/>
        </w:rPr>
        <w:t>四、工作要求</w:t>
      </w:r>
    </w:p>
    <w:p>
      <w:pPr>
        <w:widowControl w:val="0"/>
        <w:overflowPunct w:val="0"/>
        <w:adjustRightInd w:val="0"/>
        <w:snapToGrid w:val="0"/>
        <w:spacing w:line="560" w:lineRule="exact"/>
        <w:ind w:firstLine="640" w:firstLineChars="200"/>
        <w:jc w:val="both"/>
        <w:rPr>
          <w:rFonts w:ascii="仿宋_GB2312" w:hAnsi="仿宋_GB2312" w:eastAsia="仿宋_GB2312"/>
          <w:bCs/>
          <w:color w:val="000000"/>
          <w:sz w:val="32"/>
          <w:szCs w:val="30"/>
        </w:rPr>
      </w:pPr>
      <w:r>
        <w:rPr>
          <w:rFonts w:hint="eastAsia" w:ascii="楷体_GB2312" w:hAnsi="楷体" w:eastAsia="楷体_GB2312"/>
          <w:color w:val="000000"/>
          <w:sz w:val="32"/>
          <w:szCs w:val="32"/>
        </w:rPr>
        <w:t>（一）高度重视，加强组织领导。</w:t>
      </w:r>
      <w:r>
        <w:rPr>
          <w:rFonts w:hint="eastAsia" w:ascii="仿宋_GB2312" w:hAnsi="仿宋_GB2312" w:eastAsia="仿宋_GB2312"/>
          <w:bCs/>
          <w:color w:val="000000"/>
          <w:sz w:val="32"/>
          <w:szCs w:val="30"/>
        </w:rPr>
        <w:t>各镇街是组织实施城乡居民医保征缴工作的责任主体，要高度重视，精心部署，形成主要领导亲自抓，分管领导具体抓，层层抓落实的领导工作机制，并在组织、人员、经费等方面给予重点保障。</w:t>
      </w:r>
    </w:p>
    <w:p>
      <w:pPr>
        <w:widowControl w:val="0"/>
        <w:overflowPunct w:val="0"/>
        <w:adjustRightInd w:val="0"/>
        <w:snapToGrid w:val="0"/>
        <w:spacing w:line="560" w:lineRule="exact"/>
        <w:ind w:firstLine="640" w:firstLineChars="200"/>
        <w:jc w:val="both"/>
        <w:rPr>
          <w:rFonts w:ascii="仿宋_GB2312" w:hAnsi="仿宋_GB2312" w:eastAsia="仿宋_GB2312"/>
          <w:bCs/>
          <w:color w:val="000000"/>
          <w:sz w:val="32"/>
          <w:szCs w:val="30"/>
        </w:rPr>
      </w:pPr>
      <w:r>
        <w:rPr>
          <w:rFonts w:hint="eastAsia" w:ascii="楷体_GB2312" w:hAnsi="楷体" w:eastAsia="楷体_GB2312"/>
          <w:color w:val="000000"/>
          <w:sz w:val="32"/>
          <w:szCs w:val="32"/>
        </w:rPr>
        <w:t>（二）明确目标，细化工作措施。</w:t>
      </w:r>
      <w:r>
        <w:rPr>
          <w:rFonts w:hint="eastAsia" w:ascii="仿宋_GB2312" w:hAnsi="仿宋_GB2312" w:eastAsia="仿宋_GB2312"/>
          <w:bCs/>
          <w:color w:val="000000"/>
          <w:sz w:val="32"/>
          <w:szCs w:val="30"/>
        </w:rPr>
        <w:t>各镇街要明确任务目标，确保覆盖率超过98%，细化工作任务，制定具体工作方案，强化时间节点，召开城乡居民医保征缴工作动员会议，全面部署2021年度城乡居民医保征缴工作；征缴期间，不准截留、挪用居民个人缴费资金，不准搭车收费、捆绑收费、超标准收费，确保缴费资金安全，确保12月20日前全面完成征缴任务。</w:t>
      </w:r>
    </w:p>
    <w:p>
      <w:pPr>
        <w:widowControl w:val="0"/>
        <w:overflowPunct w:val="0"/>
        <w:adjustRightInd w:val="0"/>
        <w:snapToGrid w:val="0"/>
        <w:spacing w:line="560" w:lineRule="exact"/>
        <w:ind w:firstLine="640" w:firstLineChars="200"/>
        <w:jc w:val="both"/>
        <w:rPr>
          <w:rFonts w:ascii="仿宋_GB2312" w:hAnsi="仿宋_GB2312" w:eastAsia="仿宋_GB2312"/>
          <w:bCs/>
          <w:color w:val="000000"/>
          <w:sz w:val="32"/>
          <w:szCs w:val="30"/>
        </w:rPr>
      </w:pPr>
      <w:r>
        <w:rPr>
          <w:rFonts w:hint="eastAsia" w:ascii="楷体_GB2312" w:hAnsi="楷体" w:eastAsia="楷体_GB2312"/>
          <w:color w:val="000000"/>
          <w:sz w:val="32"/>
          <w:szCs w:val="32"/>
        </w:rPr>
        <w:t>（三）加强宣传，营造良好氛围。</w:t>
      </w:r>
      <w:r>
        <w:rPr>
          <w:rFonts w:hint="eastAsia" w:ascii="仿宋_GB2312" w:hAnsi="仿宋_GB2312" w:eastAsia="仿宋_GB2312"/>
          <w:bCs/>
          <w:color w:val="000000"/>
          <w:sz w:val="32"/>
          <w:szCs w:val="30"/>
        </w:rPr>
        <w:t>各镇街要加大宣传力度，将征缴标准和政策宣传紧密结合起来，发挥两定医药机构、办事大厅等主阵地优势，充分利用报纸、广播电视、网站和手机报等媒体刊播征缴信息，LED屏滚动播放，派发宣传单等，全方位、多层次、多角度开展宣传。进一步拓宽宣传渠道，用好“微信”新媒体，扩大宣传覆盖面，形成人人知晓、人人关注的浓厚氛围。</w:t>
      </w:r>
    </w:p>
    <w:p>
      <w:pPr>
        <w:widowControl w:val="0"/>
        <w:overflowPunct w:val="0"/>
        <w:adjustRightInd w:val="0"/>
        <w:snapToGrid w:val="0"/>
        <w:spacing w:line="560" w:lineRule="exact"/>
        <w:ind w:firstLine="640" w:firstLineChars="200"/>
        <w:jc w:val="both"/>
        <w:rPr>
          <w:rFonts w:ascii="仿宋_GB2312" w:hAnsi="仿宋_GB2312" w:eastAsia="仿宋_GB2312"/>
          <w:bCs/>
          <w:color w:val="000000"/>
          <w:sz w:val="32"/>
          <w:szCs w:val="30"/>
        </w:rPr>
      </w:pPr>
      <w:r>
        <w:rPr>
          <w:rFonts w:hint="eastAsia" w:ascii="楷体_GB2312" w:hAnsi="楷体" w:eastAsia="楷体_GB2312"/>
          <w:color w:val="000000"/>
          <w:sz w:val="32"/>
          <w:szCs w:val="32"/>
        </w:rPr>
        <w:t>（四）密切协作，及时报送情况。</w:t>
      </w:r>
      <w:r>
        <w:rPr>
          <w:rFonts w:hint="eastAsia" w:ascii="仿宋_GB2312" w:hAnsi="仿宋_GB2312" w:eastAsia="仿宋_GB2312"/>
          <w:bCs/>
          <w:color w:val="000000"/>
          <w:sz w:val="32"/>
          <w:szCs w:val="30"/>
        </w:rPr>
        <w:t>各部门要按照分工要求，落实部门职责，加强信息共享，全力推进征缴工作。要优先落实政府资助人员参保缴费工作，确保100%资助参保。各部门信息报送工作要明确专人负责。税务、财政、医保等部门要加强协调配合，形成工作合力。</w:t>
      </w:r>
    </w:p>
    <w:p>
      <w:pPr>
        <w:widowControl w:val="0"/>
        <w:overflowPunct w:val="0"/>
        <w:adjustRightInd w:val="0"/>
        <w:snapToGrid w:val="0"/>
        <w:spacing w:line="560" w:lineRule="exact"/>
        <w:ind w:firstLine="640" w:firstLineChars="200"/>
        <w:jc w:val="both"/>
        <w:rPr>
          <w:rFonts w:ascii="仿宋_GB2312" w:hAnsi="仿宋_GB2312" w:eastAsia="仿宋_GB2312"/>
          <w:bCs/>
          <w:color w:val="000000"/>
          <w:sz w:val="32"/>
          <w:szCs w:val="30"/>
        </w:rPr>
      </w:pPr>
      <w:r>
        <w:rPr>
          <w:rFonts w:hint="eastAsia" w:ascii="楷体_GB2312" w:hAnsi="楷体" w:eastAsia="楷体_GB2312"/>
          <w:color w:val="000000"/>
          <w:sz w:val="32"/>
          <w:szCs w:val="32"/>
        </w:rPr>
        <w:t>（五）强化督查，确保完成任务。</w:t>
      </w:r>
      <w:r>
        <w:rPr>
          <w:rFonts w:hint="eastAsia" w:ascii="仿宋_GB2312" w:hAnsi="仿宋_GB2312" w:eastAsia="仿宋_GB2312"/>
          <w:bCs/>
          <w:color w:val="000000"/>
          <w:sz w:val="32"/>
          <w:szCs w:val="30"/>
        </w:rPr>
        <w:t>市委市政府督办中心要对各镇街参保缴费进展情况进行跟踪督查，根据完成任务情况排名，对排名靠前的给予表扬，对影响全市进度的进行通报。各部门、各镇街要严格按照文件要求，明确职责，按时间节点完成工作任务。对思想不重视、工作拖拉、措施不力，影响全市征缴进度和任务完成质量的，追究相关单位和人员责任。</w:t>
      </w:r>
    </w:p>
    <w:p>
      <w:pPr>
        <w:widowControl w:val="0"/>
        <w:overflowPunct w:val="0"/>
        <w:adjustRightInd w:val="0"/>
        <w:snapToGrid w:val="0"/>
        <w:spacing w:line="560" w:lineRule="exact"/>
        <w:ind w:firstLine="548" w:firstLineChars="200"/>
        <w:jc w:val="both"/>
        <w:rPr>
          <w:rFonts w:ascii="仿宋_GB2312" w:hAnsi="仿宋_GB2312" w:eastAsia="仿宋_GB2312"/>
          <w:bCs/>
          <w:color w:val="000000"/>
          <w:spacing w:val="-23"/>
          <w:sz w:val="32"/>
          <w:szCs w:val="30"/>
        </w:rPr>
      </w:pPr>
    </w:p>
    <w:p>
      <w:pPr>
        <w:widowControl w:val="0"/>
        <w:overflowPunct w:val="0"/>
        <w:adjustRightInd w:val="0"/>
        <w:snapToGrid w:val="0"/>
        <w:spacing w:line="560" w:lineRule="exact"/>
        <w:ind w:firstLine="640" w:firstLineChars="200"/>
        <w:jc w:val="both"/>
        <w:rPr>
          <w:rFonts w:ascii="仿宋_GB2312" w:hAnsi="仿宋_GB2312" w:eastAsia="仿宋_GB2312"/>
          <w:bCs/>
          <w:snapToGrid w:val="0"/>
          <w:color w:val="000000"/>
          <w:sz w:val="32"/>
          <w:szCs w:val="30"/>
        </w:rPr>
      </w:pPr>
      <w:r>
        <w:rPr>
          <w:rFonts w:hint="eastAsia" w:ascii="仿宋_GB2312" w:hAnsi="仿宋_GB2312" w:eastAsia="仿宋_GB2312"/>
          <w:bCs/>
          <w:snapToGrid w:val="0"/>
          <w:color w:val="000000"/>
          <w:sz w:val="32"/>
          <w:szCs w:val="30"/>
        </w:rPr>
        <w:t>附件：2021年度各镇街居民医保参保征缴任务表</w:t>
      </w:r>
    </w:p>
    <w:p>
      <w:pPr>
        <w:widowControl w:val="0"/>
        <w:spacing w:line="600" w:lineRule="exact"/>
        <w:jc w:val="both"/>
        <w:rPr>
          <w:rFonts w:ascii="黑体" w:hAnsi="黑体" w:eastAsia="黑体"/>
          <w:color w:val="000000"/>
          <w:sz w:val="32"/>
          <w:szCs w:val="32"/>
        </w:rPr>
      </w:pPr>
    </w:p>
    <w:p>
      <w:pPr>
        <w:widowControl w:val="0"/>
        <w:spacing w:line="600" w:lineRule="exact"/>
        <w:jc w:val="both"/>
        <w:rPr>
          <w:rFonts w:ascii="黑体" w:hAnsi="黑体" w:eastAsia="黑体"/>
          <w:color w:val="000000"/>
          <w:sz w:val="32"/>
          <w:szCs w:val="32"/>
        </w:rPr>
      </w:pPr>
    </w:p>
    <w:p>
      <w:pPr>
        <w:widowControl w:val="0"/>
        <w:spacing w:line="600" w:lineRule="exact"/>
        <w:jc w:val="both"/>
        <w:rPr>
          <w:rFonts w:ascii="黑体" w:hAnsi="黑体" w:eastAsia="黑体"/>
          <w:color w:val="000000"/>
          <w:sz w:val="32"/>
          <w:szCs w:val="32"/>
        </w:rPr>
      </w:pPr>
    </w:p>
    <w:p>
      <w:pPr>
        <w:widowControl w:val="0"/>
        <w:spacing w:line="600" w:lineRule="exact"/>
        <w:jc w:val="both"/>
        <w:rPr>
          <w:rFonts w:ascii="黑体" w:hAnsi="黑体" w:eastAsia="黑体"/>
          <w:color w:val="000000"/>
          <w:sz w:val="32"/>
          <w:szCs w:val="32"/>
        </w:rPr>
      </w:pPr>
    </w:p>
    <w:p>
      <w:pPr>
        <w:widowControl w:val="0"/>
        <w:spacing w:line="600" w:lineRule="exact"/>
        <w:jc w:val="both"/>
        <w:rPr>
          <w:rFonts w:ascii="黑体" w:hAnsi="黑体" w:eastAsia="黑体"/>
          <w:color w:val="000000"/>
          <w:sz w:val="32"/>
          <w:szCs w:val="32"/>
        </w:rPr>
      </w:pPr>
    </w:p>
    <w:p>
      <w:pPr>
        <w:widowControl w:val="0"/>
        <w:spacing w:line="600" w:lineRule="exact"/>
        <w:jc w:val="both"/>
        <w:rPr>
          <w:rFonts w:ascii="黑体" w:hAnsi="黑体" w:eastAsia="黑体"/>
          <w:color w:val="000000"/>
          <w:sz w:val="32"/>
          <w:szCs w:val="32"/>
        </w:rPr>
      </w:pPr>
    </w:p>
    <w:p>
      <w:pPr>
        <w:widowControl w:val="0"/>
        <w:spacing w:line="600" w:lineRule="exact"/>
        <w:jc w:val="both"/>
        <w:rPr>
          <w:rFonts w:ascii="黑体" w:hAnsi="黑体" w:eastAsia="黑体"/>
          <w:color w:val="000000"/>
          <w:sz w:val="32"/>
          <w:szCs w:val="32"/>
        </w:rPr>
      </w:pPr>
      <w:r>
        <w:rPr>
          <w:rFonts w:hint="eastAsia" w:ascii="黑体" w:hAnsi="黑体" w:eastAsia="黑体"/>
          <w:color w:val="000000"/>
          <w:sz w:val="32"/>
          <w:szCs w:val="32"/>
        </w:rPr>
        <w:t>附件</w:t>
      </w:r>
    </w:p>
    <w:p>
      <w:pPr>
        <w:widowControl w:val="0"/>
        <w:spacing w:line="600" w:lineRule="exact"/>
        <w:jc w:val="both"/>
        <w:rPr>
          <w:rFonts w:ascii="黑体" w:hAnsi="黑体" w:eastAsia="黑体"/>
          <w:color w:val="000000"/>
          <w:sz w:val="32"/>
          <w:szCs w:val="32"/>
        </w:rPr>
      </w:pPr>
    </w:p>
    <w:p>
      <w:pPr>
        <w:widowControl w:val="0"/>
        <w:spacing w:line="600" w:lineRule="exact"/>
        <w:jc w:val="center"/>
        <w:rPr>
          <w:rFonts w:ascii="方正小标宋简体" w:hAnsi="黑体" w:eastAsia="方正小标宋简体"/>
          <w:color w:val="000000"/>
          <w:sz w:val="44"/>
          <w:szCs w:val="32"/>
        </w:rPr>
      </w:pPr>
      <w:r>
        <w:rPr>
          <w:rFonts w:ascii="方正小标宋简体" w:hAnsi="黑体" w:eastAsia="方正小标宋简体"/>
          <w:color w:val="000000"/>
          <w:sz w:val="44"/>
          <w:szCs w:val="32"/>
        </w:rPr>
        <w:t>202</w:t>
      </w:r>
      <w:r>
        <w:rPr>
          <w:rFonts w:hint="eastAsia" w:ascii="方正小标宋简体" w:hAnsi="黑体" w:eastAsia="方正小标宋简体"/>
          <w:color w:val="000000"/>
          <w:sz w:val="44"/>
          <w:szCs w:val="32"/>
        </w:rPr>
        <w:t>1年度各镇街居民医保参保征缴任务表</w:t>
      </w:r>
    </w:p>
    <w:p>
      <w:pPr>
        <w:widowControl w:val="0"/>
        <w:spacing w:line="600" w:lineRule="exact"/>
        <w:jc w:val="center"/>
        <w:rPr>
          <w:rFonts w:ascii="方正小标宋简体" w:hAnsi="黑体" w:eastAsia="方正小标宋简体"/>
          <w:color w:val="000000"/>
          <w:sz w:val="44"/>
          <w:szCs w:val="32"/>
        </w:rPr>
      </w:pPr>
    </w:p>
    <w:tbl>
      <w:tblPr>
        <w:tblStyle w:val="7"/>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5"/>
        <w:gridCol w:w="5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5" w:type="dxa"/>
            <w:vAlign w:val="center"/>
          </w:tcPr>
          <w:p>
            <w:pPr>
              <w:widowControl w:val="0"/>
              <w:jc w:val="center"/>
              <w:rPr>
                <w:rFonts w:ascii="黑体" w:hAnsi="黑体" w:eastAsia="黑体"/>
                <w:color w:val="000000"/>
                <w:sz w:val="30"/>
                <w:szCs w:val="30"/>
              </w:rPr>
            </w:pPr>
            <w:r>
              <w:rPr>
                <w:rFonts w:hint="eastAsia" w:ascii="黑体" w:hAnsi="黑体" w:eastAsia="黑体"/>
                <w:color w:val="000000"/>
                <w:sz w:val="30"/>
                <w:szCs w:val="30"/>
              </w:rPr>
              <w:t>镇街</w:t>
            </w:r>
          </w:p>
        </w:tc>
        <w:tc>
          <w:tcPr>
            <w:tcW w:w="5215" w:type="dxa"/>
            <w:vAlign w:val="center"/>
          </w:tcPr>
          <w:p>
            <w:pPr>
              <w:widowControl w:val="0"/>
              <w:jc w:val="center"/>
              <w:rPr>
                <w:rFonts w:ascii="黑体" w:hAnsi="黑体" w:eastAsia="黑体"/>
                <w:color w:val="000000"/>
                <w:sz w:val="30"/>
                <w:szCs w:val="30"/>
              </w:rPr>
            </w:pPr>
            <w:r>
              <w:rPr>
                <w:rFonts w:hint="eastAsia" w:ascii="黑体" w:hAnsi="黑体" w:eastAsia="黑体"/>
                <w:color w:val="000000"/>
                <w:sz w:val="30"/>
                <w:szCs w:val="30"/>
              </w:rPr>
              <w:t>参保任务数（人）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8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鲍沟镇</w:t>
            </w:r>
          </w:p>
        </w:tc>
        <w:tc>
          <w:tcPr>
            <w:tcW w:w="521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85717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8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滨湖镇</w:t>
            </w:r>
          </w:p>
        </w:tc>
        <w:tc>
          <w:tcPr>
            <w:tcW w:w="521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105772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8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柴胡店镇</w:t>
            </w:r>
          </w:p>
        </w:tc>
        <w:tc>
          <w:tcPr>
            <w:tcW w:w="521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41197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8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东郭镇</w:t>
            </w:r>
          </w:p>
        </w:tc>
        <w:tc>
          <w:tcPr>
            <w:tcW w:w="521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117742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8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大坞镇</w:t>
            </w:r>
          </w:p>
        </w:tc>
        <w:tc>
          <w:tcPr>
            <w:tcW w:w="521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88657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8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官桥镇</w:t>
            </w:r>
          </w:p>
        </w:tc>
        <w:tc>
          <w:tcPr>
            <w:tcW w:w="521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65662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8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洪绪镇</w:t>
            </w:r>
          </w:p>
        </w:tc>
        <w:tc>
          <w:tcPr>
            <w:tcW w:w="521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36052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8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界河镇</w:t>
            </w:r>
          </w:p>
        </w:tc>
        <w:tc>
          <w:tcPr>
            <w:tcW w:w="521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71227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8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级索镇</w:t>
            </w:r>
          </w:p>
        </w:tc>
        <w:tc>
          <w:tcPr>
            <w:tcW w:w="521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88132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8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姜屯镇</w:t>
            </w:r>
          </w:p>
        </w:tc>
        <w:tc>
          <w:tcPr>
            <w:tcW w:w="521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86347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8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龙阳镇</w:t>
            </w:r>
          </w:p>
        </w:tc>
        <w:tc>
          <w:tcPr>
            <w:tcW w:w="521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74902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8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木石镇</w:t>
            </w:r>
          </w:p>
        </w:tc>
        <w:tc>
          <w:tcPr>
            <w:tcW w:w="521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48022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8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南沙河镇</w:t>
            </w:r>
          </w:p>
        </w:tc>
        <w:tc>
          <w:tcPr>
            <w:tcW w:w="521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45922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8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西岗镇</w:t>
            </w:r>
          </w:p>
        </w:tc>
        <w:tc>
          <w:tcPr>
            <w:tcW w:w="521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83265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8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羊庄镇</w:t>
            </w:r>
          </w:p>
        </w:tc>
        <w:tc>
          <w:tcPr>
            <w:tcW w:w="521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85507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8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张汪镇</w:t>
            </w:r>
          </w:p>
        </w:tc>
        <w:tc>
          <w:tcPr>
            <w:tcW w:w="521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80257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8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北辛街道</w:t>
            </w:r>
          </w:p>
        </w:tc>
        <w:tc>
          <w:tcPr>
            <w:tcW w:w="521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66623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8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东沙河街道</w:t>
            </w:r>
          </w:p>
        </w:tc>
        <w:tc>
          <w:tcPr>
            <w:tcW w:w="521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56002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8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荆河街道</w:t>
            </w:r>
          </w:p>
        </w:tc>
        <w:tc>
          <w:tcPr>
            <w:tcW w:w="521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69773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8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龙泉街道</w:t>
            </w:r>
          </w:p>
        </w:tc>
        <w:tc>
          <w:tcPr>
            <w:tcW w:w="521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68513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8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善南街道</w:t>
            </w:r>
          </w:p>
        </w:tc>
        <w:tc>
          <w:tcPr>
            <w:tcW w:w="5215" w:type="dxa"/>
            <w:vAlign w:val="center"/>
          </w:tcPr>
          <w:p>
            <w:pPr>
              <w:widowControl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22050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85" w:type="dxa"/>
            <w:vAlign w:val="center"/>
          </w:tcPr>
          <w:p>
            <w:pPr>
              <w:widowControl w:val="0"/>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合计</w:t>
            </w:r>
          </w:p>
        </w:tc>
        <w:tc>
          <w:tcPr>
            <w:tcW w:w="5215" w:type="dxa"/>
            <w:vAlign w:val="center"/>
          </w:tcPr>
          <w:p>
            <w:pPr>
              <w:widowControl w:val="0"/>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1487341</w:t>
            </w:r>
          </w:p>
        </w:tc>
      </w:tr>
    </w:tbl>
    <w:p>
      <w:pPr>
        <w:widowControl w:val="0"/>
        <w:spacing w:line="600" w:lineRule="exact"/>
        <w:rPr>
          <w:rFonts w:ascii="仿宋_GB2312" w:eastAsia="仿宋_GB2312"/>
          <w:sz w:val="32"/>
          <w:szCs w:val="32"/>
        </w:rPr>
      </w:pPr>
    </w:p>
    <w:p>
      <w:pPr>
        <w:widowControl w:val="0"/>
        <w:spacing w:line="600" w:lineRule="exact"/>
        <w:rPr>
          <w:rFonts w:ascii="仿宋_GB2312" w:eastAsia="仿宋_GB2312"/>
          <w:sz w:val="32"/>
          <w:szCs w:val="32"/>
        </w:rPr>
      </w:pPr>
      <w:r>
        <w:rPr>
          <w:rFonts w:hint="eastAsia" w:ascii="仿宋_GB2312" w:eastAsia="仿宋_GB2312"/>
          <w:sz w:val="32"/>
          <w:szCs w:val="32"/>
        </w:rPr>
        <w:t>（此页无正文）</w:t>
      </w:r>
    </w:p>
    <w:p>
      <w:pPr>
        <w:widowControl w:val="0"/>
        <w:spacing w:line="600" w:lineRule="exact"/>
        <w:rPr>
          <w:rFonts w:ascii="仿宋_GB2312" w:eastAsia="仿宋_GB2312"/>
          <w:sz w:val="32"/>
          <w:szCs w:val="32"/>
        </w:rPr>
      </w:pPr>
    </w:p>
    <w:p>
      <w:pPr>
        <w:widowControl w:val="0"/>
        <w:adjustRightInd w:val="0"/>
        <w:snapToGrid w:val="0"/>
        <w:spacing w:line="600" w:lineRule="exact"/>
        <w:ind w:firstLine="640" w:firstLineChars="200"/>
        <w:rPr>
          <w:rFonts w:ascii="仿宋_GB2312" w:eastAsia="仿宋_GB2312"/>
          <w:bCs/>
          <w:sz w:val="32"/>
          <w:szCs w:val="32"/>
        </w:rPr>
      </w:pPr>
    </w:p>
    <w:p>
      <w:pPr>
        <w:widowControl w:val="0"/>
        <w:adjustRightInd w:val="0"/>
        <w:snapToGrid w:val="0"/>
        <w:spacing w:line="600" w:lineRule="exact"/>
        <w:ind w:firstLine="640" w:firstLineChars="200"/>
        <w:rPr>
          <w:rFonts w:ascii="仿宋_GB2312" w:eastAsia="仿宋_GB2312"/>
          <w:bCs/>
          <w:sz w:val="32"/>
          <w:szCs w:val="32"/>
        </w:rPr>
      </w:pPr>
    </w:p>
    <w:p>
      <w:pPr>
        <w:widowControl w:val="0"/>
        <w:adjustRightInd w:val="0"/>
        <w:snapToGrid w:val="0"/>
        <w:spacing w:line="600" w:lineRule="exact"/>
        <w:ind w:firstLine="640" w:firstLineChars="200"/>
        <w:rPr>
          <w:rFonts w:ascii="仿宋_GB2312" w:eastAsia="仿宋_GB2312"/>
          <w:bCs/>
          <w:sz w:val="32"/>
          <w:szCs w:val="32"/>
        </w:rPr>
      </w:pPr>
    </w:p>
    <w:p>
      <w:pPr>
        <w:widowControl w:val="0"/>
        <w:adjustRightInd w:val="0"/>
        <w:snapToGrid w:val="0"/>
        <w:spacing w:line="600" w:lineRule="exact"/>
        <w:ind w:firstLine="640" w:firstLineChars="200"/>
        <w:rPr>
          <w:rFonts w:ascii="仿宋_GB2312" w:eastAsia="仿宋_GB2312"/>
          <w:bCs/>
          <w:sz w:val="32"/>
          <w:szCs w:val="32"/>
        </w:rPr>
      </w:pPr>
    </w:p>
    <w:p>
      <w:pPr>
        <w:widowControl w:val="0"/>
        <w:adjustRightInd w:val="0"/>
        <w:snapToGrid w:val="0"/>
        <w:spacing w:line="600" w:lineRule="exact"/>
        <w:ind w:firstLine="640" w:firstLineChars="200"/>
        <w:rPr>
          <w:rFonts w:ascii="仿宋_GB2312" w:eastAsia="仿宋_GB2312"/>
          <w:bCs/>
          <w:sz w:val="32"/>
          <w:szCs w:val="32"/>
        </w:rPr>
      </w:pPr>
    </w:p>
    <w:p>
      <w:pPr>
        <w:widowControl w:val="0"/>
        <w:adjustRightInd w:val="0"/>
        <w:snapToGrid w:val="0"/>
        <w:spacing w:line="600" w:lineRule="exact"/>
        <w:ind w:firstLine="640" w:firstLineChars="200"/>
        <w:rPr>
          <w:rFonts w:ascii="仿宋_GB2312" w:eastAsia="仿宋_GB2312"/>
          <w:bCs/>
          <w:sz w:val="32"/>
          <w:szCs w:val="32"/>
        </w:rPr>
      </w:pPr>
    </w:p>
    <w:p>
      <w:pPr>
        <w:widowControl w:val="0"/>
        <w:adjustRightInd w:val="0"/>
        <w:snapToGrid w:val="0"/>
        <w:spacing w:line="600" w:lineRule="exact"/>
        <w:ind w:firstLine="640" w:firstLineChars="200"/>
        <w:rPr>
          <w:rFonts w:ascii="仿宋_GB2312" w:eastAsia="仿宋_GB2312"/>
          <w:bCs/>
          <w:sz w:val="32"/>
          <w:szCs w:val="32"/>
        </w:rPr>
      </w:pPr>
    </w:p>
    <w:p>
      <w:pPr>
        <w:widowControl w:val="0"/>
        <w:adjustRightInd w:val="0"/>
        <w:snapToGrid w:val="0"/>
        <w:spacing w:line="600" w:lineRule="exact"/>
        <w:ind w:firstLine="640" w:firstLineChars="200"/>
        <w:rPr>
          <w:rFonts w:ascii="仿宋_GB2312" w:eastAsia="仿宋_GB2312"/>
          <w:bCs/>
          <w:sz w:val="32"/>
          <w:szCs w:val="32"/>
        </w:rPr>
      </w:pPr>
    </w:p>
    <w:p>
      <w:pPr>
        <w:widowControl w:val="0"/>
        <w:adjustRightInd w:val="0"/>
        <w:snapToGrid w:val="0"/>
        <w:spacing w:line="600" w:lineRule="exact"/>
        <w:ind w:firstLine="640" w:firstLineChars="200"/>
        <w:rPr>
          <w:rFonts w:ascii="仿宋_GB2312" w:eastAsia="仿宋_GB2312"/>
          <w:bCs/>
          <w:sz w:val="32"/>
          <w:szCs w:val="32"/>
        </w:rPr>
      </w:pPr>
    </w:p>
    <w:p>
      <w:pPr>
        <w:widowControl w:val="0"/>
        <w:adjustRightInd w:val="0"/>
        <w:snapToGrid w:val="0"/>
        <w:spacing w:line="600" w:lineRule="exact"/>
        <w:ind w:firstLine="640" w:firstLineChars="200"/>
        <w:rPr>
          <w:rFonts w:ascii="仿宋_GB2312" w:eastAsia="仿宋_GB2312"/>
          <w:bCs/>
          <w:sz w:val="32"/>
          <w:szCs w:val="32"/>
        </w:rPr>
      </w:pPr>
    </w:p>
    <w:p>
      <w:pPr>
        <w:widowControl w:val="0"/>
        <w:adjustRightInd w:val="0"/>
        <w:snapToGrid w:val="0"/>
        <w:spacing w:line="200" w:lineRule="exact"/>
        <w:ind w:firstLine="640" w:firstLineChars="200"/>
        <w:rPr>
          <w:rFonts w:ascii="仿宋_GB2312" w:eastAsia="仿宋_GB2312"/>
          <w:bCs/>
          <w:sz w:val="32"/>
          <w:szCs w:val="32"/>
        </w:rPr>
      </w:pPr>
    </w:p>
    <w:p>
      <w:pPr>
        <w:widowControl w:val="0"/>
        <w:adjustRightInd w:val="0"/>
        <w:snapToGrid w:val="0"/>
        <w:spacing w:line="200" w:lineRule="exact"/>
        <w:ind w:firstLine="640" w:firstLineChars="200"/>
        <w:rPr>
          <w:rFonts w:ascii="仿宋_GB2312" w:eastAsia="仿宋_GB2312"/>
          <w:bCs/>
          <w:sz w:val="32"/>
          <w:szCs w:val="32"/>
        </w:rPr>
      </w:pPr>
    </w:p>
    <w:p>
      <w:pPr>
        <w:widowControl w:val="0"/>
        <w:adjustRightInd w:val="0"/>
        <w:snapToGrid w:val="0"/>
        <w:spacing w:line="200" w:lineRule="exact"/>
        <w:ind w:firstLine="640" w:firstLineChars="200"/>
        <w:rPr>
          <w:rFonts w:ascii="仿宋_GB2312" w:eastAsia="仿宋_GB2312"/>
          <w:bCs/>
          <w:sz w:val="32"/>
          <w:szCs w:val="32"/>
        </w:rPr>
      </w:pPr>
    </w:p>
    <w:p>
      <w:pPr>
        <w:widowControl w:val="0"/>
        <w:adjustRightInd w:val="0"/>
        <w:snapToGrid w:val="0"/>
        <w:spacing w:line="200" w:lineRule="exact"/>
        <w:ind w:firstLine="640" w:firstLineChars="200"/>
        <w:rPr>
          <w:rFonts w:ascii="仿宋_GB2312" w:eastAsia="仿宋_GB2312"/>
          <w:bCs/>
          <w:sz w:val="32"/>
          <w:szCs w:val="32"/>
        </w:rPr>
      </w:pPr>
    </w:p>
    <w:p>
      <w:pPr>
        <w:widowControl w:val="0"/>
        <w:adjustRightInd w:val="0"/>
        <w:snapToGrid w:val="0"/>
        <w:spacing w:line="200" w:lineRule="exact"/>
        <w:ind w:firstLine="640" w:firstLineChars="200"/>
        <w:rPr>
          <w:rFonts w:ascii="仿宋_GB2312" w:eastAsia="仿宋_GB2312"/>
          <w:bCs/>
          <w:sz w:val="32"/>
          <w:szCs w:val="32"/>
        </w:rPr>
      </w:pPr>
    </w:p>
    <w:p>
      <w:pPr>
        <w:widowControl w:val="0"/>
        <w:adjustRightInd w:val="0"/>
        <w:snapToGrid w:val="0"/>
        <w:spacing w:line="200" w:lineRule="exact"/>
        <w:ind w:firstLine="640" w:firstLineChars="200"/>
        <w:rPr>
          <w:rFonts w:ascii="仿宋_GB2312" w:eastAsia="仿宋_GB2312"/>
          <w:bCs/>
          <w:sz w:val="32"/>
          <w:szCs w:val="32"/>
        </w:rPr>
      </w:pPr>
    </w:p>
    <w:p>
      <w:pPr>
        <w:widowControl w:val="0"/>
        <w:adjustRightInd w:val="0"/>
        <w:snapToGrid w:val="0"/>
        <w:spacing w:line="200" w:lineRule="exact"/>
        <w:ind w:firstLine="640" w:firstLineChars="200"/>
        <w:rPr>
          <w:rFonts w:ascii="仿宋_GB2312" w:eastAsia="仿宋_GB2312"/>
          <w:bCs/>
          <w:sz w:val="32"/>
          <w:szCs w:val="32"/>
        </w:rPr>
      </w:pPr>
    </w:p>
    <w:p>
      <w:pPr>
        <w:widowControl w:val="0"/>
        <w:adjustRightInd w:val="0"/>
        <w:snapToGrid w:val="0"/>
        <w:spacing w:line="200" w:lineRule="exact"/>
        <w:ind w:firstLine="640" w:firstLineChars="200"/>
        <w:rPr>
          <w:rFonts w:ascii="仿宋_GB2312" w:eastAsia="仿宋_GB2312"/>
          <w:bCs/>
          <w:sz w:val="32"/>
          <w:szCs w:val="32"/>
        </w:rPr>
      </w:pPr>
    </w:p>
    <w:p>
      <w:pPr>
        <w:widowControl w:val="0"/>
        <w:adjustRightInd w:val="0"/>
        <w:snapToGrid w:val="0"/>
        <w:spacing w:line="200" w:lineRule="exact"/>
        <w:ind w:firstLine="640" w:firstLineChars="200"/>
        <w:rPr>
          <w:rFonts w:ascii="仿宋_GB2312" w:eastAsia="仿宋_GB2312"/>
          <w:bCs/>
          <w:sz w:val="32"/>
          <w:szCs w:val="32"/>
        </w:rPr>
      </w:pPr>
    </w:p>
    <w:p>
      <w:pPr>
        <w:widowControl w:val="0"/>
        <w:adjustRightInd w:val="0"/>
        <w:snapToGrid w:val="0"/>
        <w:spacing w:line="200" w:lineRule="exact"/>
        <w:ind w:firstLine="640" w:firstLineChars="200"/>
        <w:rPr>
          <w:rFonts w:ascii="仿宋_GB2312" w:eastAsia="仿宋_GB2312"/>
          <w:bCs/>
          <w:sz w:val="32"/>
          <w:szCs w:val="32"/>
        </w:rPr>
      </w:pPr>
    </w:p>
    <w:p>
      <w:pPr>
        <w:widowControl w:val="0"/>
        <w:adjustRightInd w:val="0"/>
        <w:snapToGrid w:val="0"/>
        <w:spacing w:line="200" w:lineRule="exact"/>
        <w:ind w:firstLine="640" w:firstLineChars="200"/>
        <w:rPr>
          <w:rFonts w:ascii="仿宋_GB2312" w:eastAsia="仿宋_GB2312"/>
          <w:bCs/>
          <w:sz w:val="32"/>
          <w:szCs w:val="32"/>
        </w:rPr>
      </w:pPr>
    </w:p>
    <w:p>
      <w:pPr>
        <w:widowControl w:val="0"/>
        <w:adjustRightInd w:val="0"/>
        <w:snapToGrid w:val="0"/>
        <w:spacing w:line="200" w:lineRule="exact"/>
        <w:ind w:firstLine="640" w:firstLineChars="200"/>
        <w:rPr>
          <w:rFonts w:ascii="仿宋_GB2312" w:eastAsia="仿宋_GB2312"/>
          <w:bCs/>
          <w:sz w:val="32"/>
          <w:szCs w:val="32"/>
        </w:rPr>
      </w:pPr>
    </w:p>
    <w:p>
      <w:pPr>
        <w:widowControl w:val="0"/>
        <w:adjustRightInd w:val="0"/>
        <w:snapToGrid w:val="0"/>
        <w:spacing w:line="200" w:lineRule="exact"/>
        <w:ind w:firstLine="640" w:firstLineChars="200"/>
        <w:rPr>
          <w:rFonts w:ascii="仿宋_GB2312" w:eastAsia="仿宋_GB2312"/>
          <w:bCs/>
          <w:sz w:val="32"/>
          <w:szCs w:val="32"/>
        </w:rPr>
      </w:pPr>
    </w:p>
    <w:p>
      <w:pPr>
        <w:widowControl w:val="0"/>
        <w:adjustRightInd w:val="0"/>
        <w:snapToGrid w:val="0"/>
        <w:spacing w:line="200" w:lineRule="exact"/>
        <w:ind w:firstLine="640" w:firstLineChars="200"/>
        <w:rPr>
          <w:rFonts w:ascii="仿宋_GB2312" w:eastAsia="仿宋_GB2312"/>
          <w:bCs/>
          <w:sz w:val="32"/>
          <w:szCs w:val="32"/>
        </w:rPr>
      </w:pPr>
    </w:p>
    <w:p>
      <w:pPr>
        <w:widowControl w:val="0"/>
        <w:adjustRightInd w:val="0"/>
        <w:snapToGrid w:val="0"/>
        <w:spacing w:line="200" w:lineRule="exact"/>
        <w:ind w:firstLine="640" w:firstLineChars="200"/>
        <w:rPr>
          <w:rFonts w:ascii="仿宋_GB2312" w:eastAsia="仿宋_GB2312"/>
          <w:bCs/>
          <w:sz w:val="32"/>
          <w:szCs w:val="32"/>
        </w:rPr>
      </w:pPr>
    </w:p>
    <w:p>
      <w:pPr>
        <w:widowControl w:val="0"/>
        <w:adjustRightInd w:val="0"/>
        <w:snapToGrid w:val="0"/>
        <w:spacing w:line="200" w:lineRule="exact"/>
        <w:ind w:firstLine="640" w:firstLineChars="200"/>
        <w:rPr>
          <w:rFonts w:ascii="仿宋_GB2312" w:eastAsia="仿宋_GB2312"/>
          <w:bCs/>
          <w:sz w:val="32"/>
          <w:szCs w:val="32"/>
        </w:rPr>
      </w:pPr>
    </w:p>
    <w:p>
      <w:pPr>
        <w:widowControl w:val="0"/>
        <w:adjustRightInd w:val="0"/>
        <w:snapToGrid w:val="0"/>
        <w:spacing w:line="200" w:lineRule="exact"/>
        <w:ind w:firstLine="640" w:firstLineChars="200"/>
        <w:rPr>
          <w:rFonts w:ascii="仿宋_GB2312" w:eastAsia="仿宋_GB2312"/>
          <w:bCs/>
          <w:sz w:val="32"/>
          <w:szCs w:val="32"/>
        </w:rPr>
      </w:pPr>
    </w:p>
    <w:p>
      <w:pPr>
        <w:widowControl w:val="0"/>
        <w:adjustRightInd w:val="0"/>
        <w:snapToGrid w:val="0"/>
        <w:spacing w:line="200" w:lineRule="exact"/>
        <w:ind w:firstLine="640" w:firstLineChars="200"/>
        <w:rPr>
          <w:rFonts w:ascii="仿宋_GB2312" w:eastAsia="仿宋_GB2312"/>
          <w:bCs/>
          <w:sz w:val="32"/>
          <w:szCs w:val="32"/>
        </w:rPr>
      </w:pPr>
    </w:p>
    <w:p>
      <w:pPr>
        <w:widowControl w:val="0"/>
        <w:adjustRightInd w:val="0"/>
        <w:snapToGrid w:val="0"/>
        <w:spacing w:line="200" w:lineRule="exact"/>
        <w:ind w:firstLine="640" w:firstLineChars="200"/>
        <w:rPr>
          <w:rFonts w:ascii="仿宋_GB2312" w:eastAsia="仿宋_GB2312"/>
          <w:bCs/>
          <w:sz w:val="32"/>
          <w:szCs w:val="32"/>
        </w:rPr>
      </w:pPr>
    </w:p>
    <w:p>
      <w:pPr>
        <w:pStyle w:val="2"/>
        <w:spacing w:after="0" w:line="200" w:lineRule="exact"/>
        <w:ind w:firstLine="4960" w:firstLineChars="1550"/>
        <w:rPr>
          <w:rFonts w:ascii="仿宋_GB2312" w:eastAsia="仿宋_GB2312"/>
          <w:color w:val="000000"/>
          <w:sz w:val="32"/>
          <w:szCs w:val="32"/>
        </w:rPr>
      </w:pPr>
    </w:p>
    <w:p>
      <w:pPr>
        <w:spacing w:line="400" w:lineRule="exact"/>
        <w:jc w:val="right"/>
        <w:rPr>
          <w:rFonts w:ascii="仿宋_GB2312" w:hAnsi="Arial" w:eastAsia="仿宋_GB2312" w:cs="Arial"/>
          <w:color w:val="000000"/>
          <w:sz w:val="32"/>
          <w:szCs w:val="32"/>
        </w:rPr>
      </w:pPr>
      <w: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165100</wp:posOffset>
                </wp:positionV>
                <wp:extent cx="5471795" cy="25400"/>
                <wp:effectExtent l="9525" t="12700" r="14605" b="9525"/>
                <wp:wrapNone/>
                <wp:docPr id="3" name="直线 8"/>
                <wp:cNvGraphicFramePr/>
                <a:graphic xmlns:a="http://schemas.openxmlformats.org/drawingml/2006/main">
                  <a:graphicData uri="http://schemas.microsoft.com/office/word/2010/wordprocessingShape">
                    <wps:wsp>
                      <wps:cNvCnPr>
                        <a:cxnSpLocks noChangeShapeType="true"/>
                      </wps:cNvCnPr>
                      <wps:spPr bwMode="auto">
                        <a:xfrm>
                          <a:off x="0" y="0"/>
                          <a:ext cx="5471795" cy="25400"/>
                        </a:xfrm>
                        <a:prstGeom prst="line">
                          <a:avLst/>
                        </a:prstGeom>
                        <a:noFill/>
                        <a:ln w="19050">
                          <a:solidFill>
                            <a:srgbClr val="000000"/>
                          </a:solidFill>
                          <a:round/>
                        </a:ln>
                      </wps:spPr>
                      <wps:bodyPr/>
                    </wps:wsp>
                  </a:graphicData>
                </a:graphic>
              </wp:anchor>
            </w:drawing>
          </mc:Choice>
          <mc:Fallback>
            <w:pict>
              <v:line id="直线 8" o:spid="_x0000_s1026" o:spt="20" style="position:absolute;left:0pt;margin-top:13pt;height:2pt;width:430.85pt;mso-position-horizontal:center;z-index:251659264;mso-width-relative:page;mso-height-relative:page;" filled="f" stroked="t" coordsize="21600,21600" o:gfxdata="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XrjPz1AAAAAYBAAAPAAAAAAAAAAEA&#10;IAAAADgAAABkcnMvZG93bnJldi54bWxQSwECFAAUAAAACACHTuJAkt7yUcQBAABbAwAADgAAAAAA&#10;AAABACAAAAA5AQAAZHJzL2Uyb0RvYy54bWxQSwUGAAAAAAYABgBZAQAAbwUAAAAA&#10;">
                <v:fill on="f" focussize="0,0"/>
                <v:stroke weight="1.5pt" color="#000000" joinstyle="round"/>
                <v:imagedata o:title=""/>
                <o:lock v:ext="edit" aspectratio="f"/>
              </v:line>
            </w:pict>
          </mc:Fallback>
        </mc:AlternateContent>
      </w:r>
    </w:p>
    <w:p>
      <w:pPr>
        <w:spacing w:line="400" w:lineRule="exact"/>
        <w:ind w:left="843" w:hanging="843" w:hangingChars="300"/>
        <w:rPr>
          <w:rFonts w:ascii="仿宋_GB2312" w:eastAsia="仿宋_GB2312"/>
          <w:sz w:val="28"/>
          <w:szCs w:val="28"/>
        </w:rPr>
      </w:pPr>
      <w:r>
        <w:rPr>
          <w:rFonts w:hint="eastAsia" w:ascii="仿宋_GB2312" w:eastAsia="仿宋_GB2312"/>
          <w:b/>
          <w:sz w:val="28"/>
          <w:szCs w:val="28"/>
        </w:rPr>
        <w:t>抄送：</w:t>
      </w:r>
      <w:r>
        <w:rPr>
          <w:rFonts w:hint="eastAsia" w:ascii="仿宋_GB2312" w:eastAsia="仿宋_GB2312"/>
          <w:sz w:val="28"/>
          <w:szCs w:val="28"/>
        </w:rPr>
        <w:t>市委办公室，市人大常委会办公室，市政协办公室，市监察委，市法院，市检察院，市人武部。</w:t>
      </w:r>
    </w:p>
    <w:p>
      <w:pPr>
        <w:spacing w:line="200" w:lineRule="exact"/>
        <w:rPr>
          <w:rFonts w:ascii="仿宋_GB2312" w:eastAsia="仿宋_GB2312"/>
          <w:sz w:val="28"/>
          <w:szCs w:val="28"/>
        </w:rPr>
      </w:pPr>
      <w:r>
        <w:rPr>
          <w:rFonts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38735</wp:posOffset>
                </wp:positionV>
                <wp:extent cx="5471795" cy="0"/>
                <wp:effectExtent l="9525" t="10160" r="5080" b="8890"/>
                <wp:wrapNone/>
                <wp:docPr id="2" name="直线 9"/>
                <wp:cNvGraphicFramePr/>
                <a:graphic xmlns:a="http://schemas.openxmlformats.org/drawingml/2006/main">
                  <a:graphicData uri="http://schemas.microsoft.com/office/word/2010/wordprocessingShape">
                    <wps:wsp>
                      <wps:cNvCnPr>
                        <a:cxnSpLocks noChangeShapeType="true"/>
                      </wps:cNvCnPr>
                      <wps:spPr bwMode="auto">
                        <a:xfrm>
                          <a:off x="0" y="0"/>
                          <a:ext cx="5471795" cy="0"/>
                        </a:xfrm>
                        <a:prstGeom prst="line">
                          <a:avLst/>
                        </a:prstGeom>
                        <a:noFill/>
                        <a:ln w="9525">
                          <a:solidFill>
                            <a:srgbClr val="000000"/>
                          </a:solidFill>
                          <a:round/>
                        </a:ln>
                      </wps:spPr>
                      <wps:bodyPr/>
                    </wps:wsp>
                  </a:graphicData>
                </a:graphic>
              </wp:anchor>
            </w:drawing>
          </mc:Choice>
          <mc:Fallback>
            <w:pict>
              <v:line id="直线 9" o:spid="_x0000_s1026" o:spt="20" style="position:absolute;left:0pt;margin-top:3.05pt;height:0pt;width:430.85pt;mso-position-horizontal:center;z-index:251660288;mso-width-relative:page;mso-height-relative:page;" filled="f" stroked="t" coordsize="21600,21600" o:gfxdata="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m5bgg9IAAAAEAQAADwAAAAAAAAABACAAAAA4AAAA&#10;ZHJzL2Rvd25yZXYueG1sUEsBAhQAFAAAAAgAh07iQNU/ctG+AQAAVgMAAA4AAAAAAAAAAQAgAAAA&#10;NwEAAGRycy9lMm9Eb2MueG1sUEsFBgAAAAAGAAYAWQEAAGcFAAAAAA==&#10;">
                <v:fill on="f" focussize="0,0"/>
                <v:stroke color="#000000" joinstyle="round"/>
                <v:imagedata o:title=""/>
                <o:lock v:ext="edit" aspectratio="f"/>
              </v:line>
            </w:pict>
          </mc:Fallback>
        </mc:AlternateContent>
      </w:r>
      <w:r>
        <w:rPr>
          <w:rFonts w:hint="eastAsia" w:ascii="仿宋_GB2312" w:eastAsia="仿宋_GB2312"/>
          <w:sz w:val="28"/>
          <w:szCs w:val="28"/>
        </w:rPr>
        <w:t xml:space="preserve">    </w:t>
      </w:r>
    </w:p>
    <w:p>
      <w:pPr>
        <w:spacing w:line="400" w:lineRule="exact"/>
        <w:rPr>
          <w:rFonts w:ascii="Arial" w:hAnsi="Arial" w:cs="Arial"/>
          <w:color w:val="000000"/>
          <w:szCs w:val="21"/>
        </w:rPr>
      </w:pPr>
      <w:r>
        <w:rPr>
          <w:rFonts w:ascii="仿宋_GB2312"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-35560</wp:posOffset>
                </wp:positionH>
                <wp:positionV relativeFrom="paragraph">
                  <wp:posOffset>320040</wp:posOffset>
                </wp:positionV>
                <wp:extent cx="5471795" cy="7620"/>
                <wp:effectExtent l="12065" t="15240" r="12065" b="15240"/>
                <wp:wrapNone/>
                <wp:docPr id="1" name="直线 10"/>
                <wp:cNvGraphicFramePr/>
                <a:graphic xmlns:a="http://schemas.openxmlformats.org/drawingml/2006/main">
                  <a:graphicData uri="http://schemas.microsoft.com/office/word/2010/wordprocessingShape">
                    <wps:wsp>
                      <wps:cNvCnPr>
                        <a:cxnSpLocks noChangeShapeType="true"/>
                      </wps:cNvCnPr>
                      <wps:spPr bwMode="auto">
                        <a:xfrm>
                          <a:off x="0" y="0"/>
                          <a:ext cx="5471795" cy="7620"/>
                        </a:xfrm>
                        <a:prstGeom prst="line">
                          <a:avLst/>
                        </a:prstGeom>
                        <a:noFill/>
                        <a:ln w="19050">
                          <a:solidFill>
                            <a:srgbClr val="000000"/>
                          </a:solidFill>
                          <a:round/>
                        </a:ln>
                      </wps:spPr>
                      <wps:bodyPr/>
                    </wps:wsp>
                  </a:graphicData>
                </a:graphic>
              </wp:anchor>
            </w:drawing>
          </mc:Choice>
          <mc:Fallback>
            <w:pict>
              <v:line id="直线 10" o:spid="_x0000_s1026" o:spt="20" style="position:absolute;left:0pt;margin-left:-2.8pt;margin-top:25.2pt;height:0.6pt;width:430.85pt;z-index:251661312;mso-width-relative:page;mso-height-relative:page;" filled="f" stroked="t" coordsize="21600,21600" o:gfxdata="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KIhvnTWAAAACAEAAA8AAAAAAAAA&#10;AQAgAAAAOAAAAGRycy9kb3ducmV2LnhtbFBLAQIUABQAAAAIAIdO4kBmI3sxxAEAAFsDAAAOAAAA&#10;AAAAAAEAIAAAADsBAABkcnMvZTJvRG9jLnhtbFBLBQYAAAAABgAGAFkBAABxBQAAAAA=&#10;">
                <v:fill on="f" focussize="0,0"/>
                <v:stroke weight="1.5pt" color="#000000" joinstyle="round"/>
                <v:imagedata o:title=""/>
                <o:lock v:ext="edit" aspectratio="f"/>
              </v:line>
            </w:pict>
          </mc:Fallback>
        </mc:AlternateContent>
      </w:r>
      <w:r>
        <w:rPr>
          <w:rFonts w:hint="eastAsia" w:ascii="仿宋_GB2312" w:eastAsia="仿宋_GB2312"/>
          <w:sz w:val="28"/>
          <w:szCs w:val="28"/>
        </w:rPr>
        <w:t>滕州市人民政府办公室                     2020年11月10日印发</w:t>
      </w:r>
    </w:p>
    <w:p>
      <w:pPr>
        <w:widowControl w:val="0"/>
        <w:adjustRightInd w:val="0"/>
        <w:snapToGrid w:val="0"/>
        <w:spacing w:line="200" w:lineRule="exact"/>
        <w:ind w:firstLine="640" w:firstLineChars="200"/>
        <w:rPr>
          <w:rFonts w:ascii="仿宋_GB2312" w:eastAsia="仿宋_GB2312"/>
          <w:bCs/>
          <w:sz w:val="32"/>
          <w:szCs w:val="32"/>
        </w:rPr>
      </w:pPr>
    </w:p>
    <w:sectPr>
      <w:footerReference r:id="rId3" w:type="default"/>
      <w:footerReference r:id="rId4" w:type="even"/>
      <w:pgSz w:w="11906" w:h="16838"/>
      <w:pgMar w:top="1701" w:right="1701" w:bottom="1701" w:left="1701" w:header="720" w:footer="1418" w:gutter="0"/>
      <w:pgNumType w:fmt="numberInDash"/>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8"/>
        <w:szCs w:val="28"/>
      </w:rPr>
    </w:pPr>
    <w:r>
      <w:rPr>
        <w:rStyle w:val="9"/>
        <w:rFonts w:ascii="宋体" w:hAnsi="宋体" w:cs="宋体"/>
        <w:sz w:val="24"/>
        <w:szCs w:val="24"/>
      </w:rPr>
      <w:fldChar w:fldCharType="begin"/>
    </w:r>
    <w:r>
      <w:rPr>
        <w:rStyle w:val="9"/>
        <w:rFonts w:ascii="宋体" w:hAnsi="宋体" w:cs="宋体"/>
        <w:sz w:val="24"/>
        <w:szCs w:val="24"/>
      </w:rPr>
      <w:instrText xml:space="preserve">PAGE  </w:instrText>
    </w:r>
    <w:r>
      <w:rPr>
        <w:rStyle w:val="9"/>
        <w:rFonts w:ascii="宋体" w:hAnsi="宋体" w:cs="宋体"/>
        <w:sz w:val="24"/>
        <w:szCs w:val="24"/>
      </w:rPr>
      <w:fldChar w:fldCharType="separate"/>
    </w:r>
    <w:r>
      <w:rPr>
        <w:rStyle w:val="9"/>
        <w:rFonts w:ascii="宋体" w:hAnsi="宋体" w:cs="宋体"/>
        <w:sz w:val="24"/>
        <w:szCs w:val="24"/>
      </w:rPr>
      <w:t>- 8 -</w:t>
    </w:r>
    <w:r>
      <w:rPr>
        <w:rStyle w:val="9"/>
        <w:rFonts w:ascii="宋体" w:hAnsi="宋体" w:cs="宋体"/>
        <w:sz w:val="24"/>
        <w:szCs w:val="24"/>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BFC"/>
    <w:rsid w:val="00041406"/>
    <w:rsid w:val="00054869"/>
    <w:rsid w:val="00061BFB"/>
    <w:rsid w:val="00087C73"/>
    <w:rsid w:val="000A23E2"/>
    <w:rsid w:val="000A6C08"/>
    <w:rsid w:val="000B3DD0"/>
    <w:rsid w:val="000E3C45"/>
    <w:rsid w:val="000E7E05"/>
    <w:rsid w:val="0012692E"/>
    <w:rsid w:val="00146605"/>
    <w:rsid w:val="00175436"/>
    <w:rsid w:val="001A6440"/>
    <w:rsid w:val="001A7378"/>
    <w:rsid w:val="001B362E"/>
    <w:rsid w:val="001B4C50"/>
    <w:rsid w:val="001F5D1F"/>
    <w:rsid w:val="00207B4F"/>
    <w:rsid w:val="0021404F"/>
    <w:rsid w:val="0027193F"/>
    <w:rsid w:val="00294249"/>
    <w:rsid w:val="002D2F79"/>
    <w:rsid w:val="002E40CB"/>
    <w:rsid w:val="002F4881"/>
    <w:rsid w:val="003B46EE"/>
    <w:rsid w:val="003B4F1E"/>
    <w:rsid w:val="003D3FB6"/>
    <w:rsid w:val="003D64AC"/>
    <w:rsid w:val="004058ED"/>
    <w:rsid w:val="00435F63"/>
    <w:rsid w:val="00437FF0"/>
    <w:rsid w:val="00474438"/>
    <w:rsid w:val="004879AA"/>
    <w:rsid w:val="00493738"/>
    <w:rsid w:val="004B006C"/>
    <w:rsid w:val="004B53F1"/>
    <w:rsid w:val="004D35C9"/>
    <w:rsid w:val="004F23D1"/>
    <w:rsid w:val="00502767"/>
    <w:rsid w:val="00503E3B"/>
    <w:rsid w:val="005044D0"/>
    <w:rsid w:val="00513E84"/>
    <w:rsid w:val="0059276F"/>
    <w:rsid w:val="005948BA"/>
    <w:rsid w:val="005C6C36"/>
    <w:rsid w:val="005F4D05"/>
    <w:rsid w:val="00606DF3"/>
    <w:rsid w:val="00621B79"/>
    <w:rsid w:val="0063255D"/>
    <w:rsid w:val="006438AD"/>
    <w:rsid w:val="00652384"/>
    <w:rsid w:val="0065796F"/>
    <w:rsid w:val="00675679"/>
    <w:rsid w:val="006C4A72"/>
    <w:rsid w:val="006F3547"/>
    <w:rsid w:val="006F619D"/>
    <w:rsid w:val="00721A71"/>
    <w:rsid w:val="00727D24"/>
    <w:rsid w:val="00744A8C"/>
    <w:rsid w:val="00746D12"/>
    <w:rsid w:val="007564CA"/>
    <w:rsid w:val="00762FA1"/>
    <w:rsid w:val="00797C1A"/>
    <w:rsid w:val="007B1974"/>
    <w:rsid w:val="007E6278"/>
    <w:rsid w:val="0081389F"/>
    <w:rsid w:val="008239D7"/>
    <w:rsid w:val="0083068A"/>
    <w:rsid w:val="008343B2"/>
    <w:rsid w:val="00840954"/>
    <w:rsid w:val="00863D1A"/>
    <w:rsid w:val="008B44DB"/>
    <w:rsid w:val="008B707E"/>
    <w:rsid w:val="008D79EB"/>
    <w:rsid w:val="0093647D"/>
    <w:rsid w:val="00955B33"/>
    <w:rsid w:val="00963DF0"/>
    <w:rsid w:val="009D2C8D"/>
    <w:rsid w:val="009D2FE3"/>
    <w:rsid w:val="00A23C89"/>
    <w:rsid w:val="00A36B89"/>
    <w:rsid w:val="00A62AF2"/>
    <w:rsid w:val="00A741A9"/>
    <w:rsid w:val="00A87B74"/>
    <w:rsid w:val="00AC2F30"/>
    <w:rsid w:val="00B01A30"/>
    <w:rsid w:val="00B225B3"/>
    <w:rsid w:val="00B37F79"/>
    <w:rsid w:val="00B51FBB"/>
    <w:rsid w:val="00B853D2"/>
    <w:rsid w:val="00BB4BFC"/>
    <w:rsid w:val="00BC6DD4"/>
    <w:rsid w:val="00BD2020"/>
    <w:rsid w:val="00C06011"/>
    <w:rsid w:val="00C107A2"/>
    <w:rsid w:val="00C6310C"/>
    <w:rsid w:val="00CB1D56"/>
    <w:rsid w:val="00CD506E"/>
    <w:rsid w:val="00CE0A5C"/>
    <w:rsid w:val="00CE5AA5"/>
    <w:rsid w:val="00D226E4"/>
    <w:rsid w:val="00D806EC"/>
    <w:rsid w:val="00DA6C5E"/>
    <w:rsid w:val="00DB4346"/>
    <w:rsid w:val="00DB6EA7"/>
    <w:rsid w:val="00DC40C3"/>
    <w:rsid w:val="00DE369A"/>
    <w:rsid w:val="00DE399E"/>
    <w:rsid w:val="00E406CF"/>
    <w:rsid w:val="00E42C5F"/>
    <w:rsid w:val="00E66B16"/>
    <w:rsid w:val="00E71140"/>
    <w:rsid w:val="00EA0790"/>
    <w:rsid w:val="00EA5BAF"/>
    <w:rsid w:val="00EB7439"/>
    <w:rsid w:val="00EC3BA7"/>
    <w:rsid w:val="00EC7B99"/>
    <w:rsid w:val="00F00CCB"/>
    <w:rsid w:val="00F12BD8"/>
    <w:rsid w:val="00F2119D"/>
    <w:rsid w:val="00F51529"/>
    <w:rsid w:val="00F63065"/>
    <w:rsid w:val="00F67C16"/>
    <w:rsid w:val="00FA2A0F"/>
    <w:rsid w:val="00FB6C19"/>
    <w:rsid w:val="00FD73CC"/>
    <w:rsid w:val="00FF0043"/>
    <w:rsid w:val="1773026F"/>
    <w:rsid w:val="19D84725"/>
    <w:rsid w:val="1B3A0ED1"/>
    <w:rsid w:val="1CAF2100"/>
    <w:rsid w:val="239C3BA8"/>
    <w:rsid w:val="28F50E59"/>
    <w:rsid w:val="291B71D2"/>
    <w:rsid w:val="2FBF308A"/>
    <w:rsid w:val="30986DB3"/>
    <w:rsid w:val="31093FCE"/>
    <w:rsid w:val="38364814"/>
    <w:rsid w:val="384471AB"/>
    <w:rsid w:val="3D656600"/>
    <w:rsid w:val="3EC47BD8"/>
    <w:rsid w:val="4004171C"/>
    <w:rsid w:val="468A22D9"/>
    <w:rsid w:val="4DEC6181"/>
    <w:rsid w:val="4FA600F2"/>
    <w:rsid w:val="538D561B"/>
    <w:rsid w:val="572A15AA"/>
    <w:rsid w:val="5A712F07"/>
    <w:rsid w:val="5C025C06"/>
    <w:rsid w:val="5C1B59A2"/>
    <w:rsid w:val="5CA01E82"/>
    <w:rsid w:val="5E9F14E6"/>
    <w:rsid w:val="644170CD"/>
    <w:rsid w:val="674A3CBE"/>
    <w:rsid w:val="67B5621F"/>
    <w:rsid w:val="6C405A39"/>
    <w:rsid w:val="702B6BC7"/>
    <w:rsid w:val="70A653F3"/>
    <w:rsid w:val="74AC23B5"/>
    <w:rsid w:val="76CA6E6C"/>
    <w:rsid w:val="7AB9745C"/>
    <w:rsid w:val="7E841742"/>
    <w:rsid w:val="7EB32764"/>
    <w:rsid w:val="7FD7D5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semiHidden/>
    <w:qFormat/>
    <w:uiPriority w:val="99"/>
    <w:pPr>
      <w:widowControl w:val="0"/>
      <w:spacing w:after="120"/>
      <w:jc w:val="both"/>
    </w:pPr>
    <w:rPr>
      <w:rFonts w:ascii="Calibri" w:hAnsi="Calibri"/>
      <w:szCs w:val="24"/>
    </w:rPr>
  </w:style>
  <w:style w:type="paragraph" w:styleId="3">
    <w:name w:val="Balloon Text"/>
    <w:basedOn w:val="1"/>
    <w:link w:val="15"/>
    <w:semiHidden/>
    <w:unhideWhenUsed/>
    <w:qFormat/>
    <w:uiPriority w:val="99"/>
    <w:rPr>
      <w:sz w:val="18"/>
      <w:szCs w:val="18"/>
    </w:rPr>
  </w:style>
  <w:style w:type="paragraph" w:styleId="4">
    <w:name w:val="footer"/>
    <w:basedOn w:val="1"/>
    <w:link w:val="11"/>
    <w:qFormat/>
    <w:uiPriority w:val="99"/>
    <w:pPr>
      <w:widowControl w:val="0"/>
      <w:tabs>
        <w:tab w:val="center" w:pos="4153"/>
        <w:tab w:val="right" w:pos="8306"/>
      </w:tabs>
      <w:snapToGrid w:val="0"/>
    </w:pPr>
    <w:rPr>
      <w:rFonts w:ascii="Calibri" w:hAnsi="Calibri"/>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pPr>
    <w:rPr>
      <w:rFonts w:ascii="宋体" w:hAnsi="宋体" w:cs="宋体"/>
      <w:sz w:val="24"/>
      <w:szCs w:val="24"/>
    </w:rPr>
  </w:style>
  <w:style w:type="character" w:styleId="9">
    <w:name w:val="page number"/>
    <w:qFormat/>
    <w:uiPriority w:val="99"/>
    <w:rPr>
      <w:rFonts w:cs="Times New Roman"/>
    </w:rPr>
  </w:style>
  <w:style w:type="character" w:customStyle="1" w:styleId="10">
    <w:name w:val="页脚 Char"/>
    <w:basedOn w:val="8"/>
    <w:semiHidden/>
    <w:qFormat/>
    <w:uiPriority w:val="99"/>
    <w:rPr>
      <w:rFonts w:ascii="Times New Roman" w:hAnsi="Times New Roman" w:eastAsia="宋体" w:cs="Times New Roman"/>
      <w:kern w:val="0"/>
      <w:sz w:val="18"/>
      <w:szCs w:val="18"/>
    </w:rPr>
  </w:style>
  <w:style w:type="character" w:customStyle="1" w:styleId="11">
    <w:name w:val="页脚 Char1"/>
    <w:link w:val="4"/>
    <w:qFormat/>
    <w:locked/>
    <w:uiPriority w:val="99"/>
    <w:rPr>
      <w:rFonts w:ascii="Calibri" w:hAnsi="Calibri" w:eastAsia="宋体" w:cs="Times New Roman"/>
      <w:kern w:val="0"/>
      <w:sz w:val="18"/>
      <w:szCs w:val="18"/>
    </w:rPr>
  </w:style>
  <w:style w:type="character" w:customStyle="1" w:styleId="12">
    <w:name w:val="页眉 Char"/>
    <w:basedOn w:val="8"/>
    <w:link w:val="5"/>
    <w:qFormat/>
    <w:uiPriority w:val="99"/>
    <w:rPr>
      <w:rFonts w:ascii="Times New Roman" w:hAnsi="Times New Roman" w:eastAsia="宋体" w:cs="Times New Roman"/>
      <w:kern w:val="0"/>
      <w:sz w:val="18"/>
      <w:szCs w:val="18"/>
    </w:rPr>
  </w:style>
  <w:style w:type="paragraph" w:customStyle="1" w:styleId="13">
    <w:name w:val="western"/>
    <w:basedOn w:val="1"/>
    <w:qFormat/>
    <w:uiPriority w:val="0"/>
    <w:pPr>
      <w:spacing w:before="100" w:beforeAutospacing="1" w:after="100" w:afterAutospacing="1"/>
    </w:pPr>
    <w:rPr>
      <w:rFonts w:ascii="宋体" w:hAnsi="宋体" w:cs="宋体"/>
      <w:sz w:val="24"/>
      <w:szCs w:val="24"/>
    </w:rPr>
  </w:style>
  <w:style w:type="character" w:customStyle="1" w:styleId="14">
    <w:name w:val="正文文本 Char"/>
    <w:basedOn w:val="8"/>
    <w:link w:val="2"/>
    <w:semiHidden/>
    <w:qFormat/>
    <w:uiPriority w:val="99"/>
    <w:rPr>
      <w:rFonts w:ascii="Calibri" w:hAnsi="Calibri"/>
      <w:szCs w:val="24"/>
    </w:rPr>
  </w:style>
  <w:style w:type="character" w:customStyle="1" w:styleId="15">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2784</Words>
  <Characters>2957</Characters>
  <Lines>22</Lines>
  <Paragraphs>6</Paragraphs>
  <TotalTime>1</TotalTime>
  <ScaleCrop>false</ScaleCrop>
  <LinksUpToDate>false</LinksUpToDate>
  <CharactersWithSpaces>3009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2020-11-10T18:03:00Z</dcterms:created>
  <dc:creator>Administrator</dc:creator>
  <cp:lastModifiedBy>zhangxx</cp:lastModifiedBy>
  <cp:lastPrinted>2020-11-10T20:25:00Z</cp:lastPrinted>
  <dcterms:modified xsi:type="dcterms:W3CDTF">2022-01-05T12:11:08Z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